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教师教育学院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 xml:space="preserve"> 谷博家</w:t>
      </w:r>
      <w:r>
        <w:rPr>
          <w:rFonts w:hint="eastAsia"/>
          <w:sz w:val="30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中学一级教师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学科教学（美术）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讲师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 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5 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谷博家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高等学校教师资格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韩国世翰大学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2022.2.25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学科教学（美术）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2017.10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2017.10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海口市人力资源和社会保障局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中学一级教师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学科教学（美术）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2003.9-2007.8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长春师范大学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美术学院美术学专业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王思博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2007.9-2010.7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俄罗斯国立师范大学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美术学院美术学专业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王墅野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2018.12-2021.8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韩国世翰大学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教育学院教育学专业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孔晨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2022.7-2022.8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 w:bidi="ar-SA"/>
              </w:rPr>
              <w:t>暑期</w:t>
            </w: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2022.7-2022.9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海南省高等学校师资培训中心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高校教师岗前培训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2022.12-2023.2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  <w:t>2023年寒假教师研修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2023.6-2023.8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在线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教育部办公厅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2023年暑期教师研修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张慧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华中师范大学海南附属中学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美术教学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2022年2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至今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海南师范大学教师教育学院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学科教学（美术）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 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2022年 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/>
    <w:p/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496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330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384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256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）届；或担任本科生创新创业活动（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2019级美术学4班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班级管理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班级管理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美术学科课程与教材研究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级学科教学（美术）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19级白沙县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20级美术2班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2022年10月参加2022年师范生顶岗及教育集中实习工作，担任实习生岗前培训教师、白沙县驻点教师.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级美术学2班美术教育考察与研习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省部级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海南本土文化的乡村学校传承实践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ZT-221165801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教育部学位与研究生教育发展中心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67"/>
        <w:gridCol w:w="722"/>
        <w:gridCol w:w="2332"/>
        <w:gridCol w:w="1623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The Influence of Faculty Professionalism of Social Art Training Teachers on Professional Dedication</w:t>
            </w: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Journal | [J] Adult and Higher Education. Volume 3 , Issue 1 . 2021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67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/>
          <w:p/>
          <w:p/>
          <w:p>
            <w:pPr>
              <w:spacing w:line="360" w:lineRule="auto"/>
              <w:ind w:firstLine="640" w:firstLineChars="200"/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本人2022年2月入职以来，坚持四项基本原则，遵纪守法，爱岗敬业，教书育人，教学工作量饱满，在教学和科研工作中不断进取，2022年10月被遴选为教师教育学院美术课程与教学论专业硕士生导师。</w:t>
            </w:r>
          </w:p>
          <w:p>
            <w:pPr>
              <w:spacing w:line="360" w:lineRule="auto"/>
              <w:ind w:firstLine="640" w:firstLineChars="200"/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入职以来完成了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《学科教学技能训练》、《学科课程标准解读与教材分析》、《学科课程与教学论》《美术课程资源的开发》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专业（教育）实习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美术教育考查与研习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班级管理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等7门课程的教学任务，三个学期共计496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课时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在全年的教学中，认真备课、制作课件，严谨设计教学方案和教案，完成了教学大纲要求和实现了教学目的的同时，教学内容科学，基本概念、原理讲解清楚，重点突出，难点和疑点处理得当；并能正确的处理课程内容和教材的关系，能根据学科的特点采用多种教学方法，培养学生的实际操作技能；给学生布置的作业题量适当，难易适度，批改认真，讲评及时。</w:t>
            </w:r>
          </w:p>
          <w:p>
            <w:pPr>
              <w:spacing w:line="360" w:lineRule="auto"/>
              <w:ind w:firstLine="640" w:firstLineChars="200"/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2022年2月入职至今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参与学习培训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次，参与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教育部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项目1项《海南本土文化的乡村学校美育传承实践》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>。</w:t>
            </w: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谷博家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学科教学（美术）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DB9B5"/>
    <w:multiLevelType w:val="singleLevel"/>
    <w:tmpl w:val="822DB9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3190CB5"/>
    <w:rsid w:val="04DB0439"/>
    <w:rsid w:val="04F82111"/>
    <w:rsid w:val="0643325A"/>
    <w:rsid w:val="0A9B39E1"/>
    <w:rsid w:val="0F4818E7"/>
    <w:rsid w:val="13830281"/>
    <w:rsid w:val="153B3244"/>
    <w:rsid w:val="1E1E083D"/>
    <w:rsid w:val="20847C5E"/>
    <w:rsid w:val="26C836D0"/>
    <w:rsid w:val="2A685020"/>
    <w:rsid w:val="2CBF0E1F"/>
    <w:rsid w:val="33D6278A"/>
    <w:rsid w:val="38BA425C"/>
    <w:rsid w:val="402D451B"/>
    <w:rsid w:val="43D9101E"/>
    <w:rsid w:val="499C1040"/>
    <w:rsid w:val="49C05A15"/>
    <w:rsid w:val="49DF4468"/>
    <w:rsid w:val="4ED850C1"/>
    <w:rsid w:val="50FC6DFB"/>
    <w:rsid w:val="554A33E5"/>
    <w:rsid w:val="56617F55"/>
    <w:rsid w:val="62945860"/>
    <w:rsid w:val="6AC141C7"/>
    <w:rsid w:val="6C4112C6"/>
    <w:rsid w:val="7D4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22</Pages>
  <Words>7151</Words>
  <Characters>8170</Characters>
  <Lines>81</Lines>
  <Paragraphs>22</Paragraphs>
  <TotalTime>59</TotalTime>
  <ScaleCrop>false</ScaleCrop>
  <LinksUpToDate>false</LinksUpToDate>
  <CharactersWithSpaces>10125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2023-09-05T11:02:00Z</cp:lastPrinted>
  <dcterms:modified xsi:type="dcterms:W3CDTF">2024-07-01T08:27:54Z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390D2F75047244D8832396CA25262EA4_13</vt:lpwstr>
  </property>
</Properties>
</file>