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2022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教师教育学院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陈建花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副教授                    </w:t>
      </w:r>
    </w:p>
    <w:p>
      <w:pPr>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数学教育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教学科研型教授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填表时间：  2023 年9 月 5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rFonts w:eastAsia="黑体"/>
          <w:sz w:val="44"/>
        </w:rPr>
      </w:pPr>
      <w:r>
        <w:rPr>
          <w:rFonts w:hint="eastAsia" w:eastAsia="黑体"/>
          <w:sz w:val="44"/>
        </w:rPr>
        <w:t>填表说明</w:t>
      </w:r>
    </w:p>
    <w:p>
      <w:pPr>
        <w:jc w:val="center"/>
        <w:rPr>
          <w:rFonts w:eastAsia="黑体"/>
          <w:sz w:val="44"/>
        </w:rPr>
      </w:pPr>
    </w:p>
    <w:p>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二级学院评审工作委员会或职称办填写。填写内容应经人事部门审核认可，编号由人事（职改）部门统一编制。</w:t>
      </w:r>
    </w:p>
    <w:p>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pPr>
        <w:spacing w:line="540" w:lineRule="exact"/>
        <w:ind w:firstLine="640" w:firstLineChars="200"/>
        <w:rPr>
          <w:rFonts w:ascii="仿宋_GB2312" w:eastAsia="仿宋_GB2312"/>
          <w:sz w:val="32"/>
        </w:rPr>
      </w:pPr>
      <w:r>
        <w:rPr>
          <w:rFonts w:hint="eastAsia" w:ascii="仿宋_GB2312" w:eastAsia="仿宋_GB2312"/>
          <w:sz w:val="32"/>
        </w:rPr>
        <w:t>4.“毕业学校”填毕业学校当时的全称。</w:t>
      </w:r>
    </w:p>
    <w:p>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p>
    <w:p>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pPr>
        <w:spacing w:line="540" w:lineRule="exact"/>
        <w:ind w:firstLine="640" w:firstLineChars="200"/>
        <w:rPr>
          <w:rFonts w:ascii="仿宋_GB2312" w:eastAsia="仿宋_GB2312"/>
          <w:sz w:val="32"/>
        </w:rPr>
      </w:pPr>
      <w:r>
        <w:rPr>
          <w:rFonts w:hint="eastAsia" w:ascii="仿宋_GB2312" w:eastAsia="仿宋_GB2312"/>
          <w:sz w:val="32"/>
        </w:rPr>
        <w:t>10.国际人才依据《海南师范大学国际人才申报认定、高聘与评审高级职称管理办法（试行）》（〔2022〕57号）进行申报，评审条件依照《海南师范大学高校教师系列专业技术职务评审管理办法》（〔2021〕87号）执行。</w:t>
      </w:r>
    </w:p>
    <w:p>
      <w:pPr>
        <w:widowControl/>
        <w:jc w:val="left"/>
        <w:rPr>
          <w:rFonts w:ascii="仿宋_GB2312" w:eastAsia="仿宋_GB2312"/>
          <w:sz w:val="32"/>
          <w:szCs w:val="32"/>
        </w:rPr>
      </w:pPr>
      <w:r>
        <w:rPr>
          <w:rFonts w:hint="eastAsia" w:ascii="仿宋_GB2312" w:eastAsia="仿宋_GB2312"/>
          <w:sz w:val="32"/>
          <w:szCs w:val="32"/>
        </w:rPr>
        <w:t xml:space="preserve">    </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2"/>
        <w:gridCol w:w="355"/>
        <w:gridCol w:w="209"/>
        <w:gridCol w:w="425"/>
        <w:gridCol w:w="283"/>
        <w:gridCol w:w="142"/>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姓名</w:t>
            </w:r>
          </w:p>
        </w:tc>
        <w:tc>
          <w:tcPr>
            <w:tcW w:w="141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陈建花</w:t>
            </w:r>
          </w:p>
        </w:tc>
        <w:tc>
          <w:tcPr>
            <w:tcW w:w="57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bookmarkStart w:id="0" w:name="_GoBack"/>
            <w:bookmarkEnd w:id="0"/>
          </w:p>
        </w:tc>
        <w:tc>
          <w:tcPr>
            <w:tcW w:w="709"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政治</w:t>
            </w:r>
          </w:p>
          <w:p>
            <w:pPr>
              <w:widowControl/>
              <w:jc w:val="center"/>
              <w:rPr>
                <w:rFonts w:ascii="宋体" w:hAnsi="宋体" w:cs="Arial"/>
                <w:kern w:val="0"/>
                <w:szCs w:val="21"/>
              </w:rPr>
            </w:pPr>
            <w:r>
              <w:rPr>
                <w:rFonts w:hint="eastAsia" w:ascii="宋体" w:hAnsi="宋体" w:cs="Arial"/>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民进会员</w:t>
            </w:r>
          </w:p>
        </w:tc>
        <w:tc>
          <w:tcPr>
            <w:tcW w:w="1842" w:type="dxa"/>
            <w:gridSpan w:val="4"/>
            <w:vMerge w:val="restart"/>
            <w:tcBorders>
              <w:top w:val="single" w:color="000000" w:sz="4" w:space="0"/>
              <w:left w:val="nil"/>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相片</w:t>
            </w:r>
          </w:p>
        </w:tc>
      </w:tr>
      <w:tr>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高等学校教师资格</w:t>
            </w:r>
            <w:r>
              <w:rPr>
                <w:rFonts w:hint="eastAsia" w:ascii="宋体" w:hAnsi="宋体" w:cs="Arial"/>
                <w:kern w:val="0"/>
                <w:szCs w:val="21"/>
              </w:rPr>
              <w:t>/ 数学</w:t>
            </w:r>
          </w:p>
        </w:tc>
        <w:tc>
          <w:tcPr>
            <w:tcW w:w="99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842" w:type="dxa"/>
            <w:gridSpan w:val="4"/>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最高学历</w:t>
            </w:r>
          </w:p>
          <w:p>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华中师范大学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大学本科</w:t>
            </w:r>
            <w:r>
              <w:rPr>
                <w:rFonts w:hint="eastAsia" w:ascii="宋体" w:hAnsi="宋体" w:cs="Arial"/>
                <w:kern w:val="0"/>
                <w:szCs w:val="21"/>
              </w:rPr>
              <w:t>/硕士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数学教育</w:t>
            </w:r>
            <w:r>
              <w:rPr>
                <w:rFonts w:hint="eastAsia" w:ascii="宋体" w:hAnsi="宋体" w:cs="Arial"/>
                <w:kern w:val="0"/>
                <w:szCs w:val="21"/>
              </w:rPr>
              <w:t>/学科教学（数学）</w:t>
            </w:r>
          </w:p>
        </w:tc>
        <w:tc>
          <w:tcPr>
            <w:tcW w:w="1842" w:type="dxa"/>
            <w:gridSpan w:val="4"/>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教师教育学院</w:t>
            </w:r>
          </w:p>
        </w:tc>
        <w:tc>
          <w:tcPr>
            <w:tcW w:w="850" w:type="dxa"/>
            <w:gridSpan w:val="2"/>
            <w:vAlign w:val="center"/>
          </w:tcPr>
          <w:p>
            <w:pPr>
              <w:widowControl/>
              <w:jc w:val="center"/>
              <w:rPr>
                <w:rFonts w:ascii="宋体" w:hAnsi="宋体" w:cs="Arial"/>
                <w:kern w:val="0"/>
                <w:szCs w:val="21"/>
              </w:rPr>
            </w:pPr>
            <w:r>
              <w:rPr>
                <w:rFonts w:hint="eastAsia" w:ascii="宋体" w:hAnsi="宋体" w:cs="Arial"/>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1996.07</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数学</w:t>
            </w:r>
          </w:p>
        </w:tc>
        <w:tc>
          <w:tcPr>
            <w:tcW w:w="709"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正常</w:t>
            </w:r>
          </w:p>
        </w:tc>
      </w:tr>
      <w:tr>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p>
            <w:pPr>
              <w:widowControl/>
              <w:jc w:val="center"/>
              <w:rPr>
                <w:rFonts w:ascii="宋体" w:hAnsi="宋体" w:cs="Arial"/>
                <w:kern w:val="0"/>
                <w:szCs w:val="21"/>
              </w:rPr>
            </w:pPr>
            <w:r>
              <w:rPr>
                <w:rFonts w:hint="eastAsia" w:ascii="宋体" w:hAnsi="宋体" w:cs="Arial"/>
                <w:kern w:val="0"/>
                <w:szCs w:val="21"/>
              </w:rPr>
              <w:t>2009.10</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申请学科组名称</w:t>
            </w:r>
          </w:p>
          <w:p>
            <w:pPr>
              <w:widowControl/>
              <w:jc w:val="center"/>
              <w:rPr>
                <w:rFonts w:ascii="宋体" w:hAnsi="宋体" w:cs="Arial"/>
                <w:kern w:val="0"/>
                <w:szCs w:val="21"/>
              </w:rPr>
            </w:pPr>
            <w:r>
              <w:rPr>
                <w:rFonts w:hint="eastAsia" w:ascii="宋体" w:hAnsi="宋体" w:cs="Arial"/>
                <w:kern w:val="0"/>
                <w:szCs w:val="21"/>
              </w:rPr>
              <w:t>(在相应学科前打</w:t>
            </w:r>
            <w:r>
              <w:rPr>
                <w:rFonts w:hint="eastAsia" w:cs="Arial" w:asciiTheme="minorEastAsia" w:hAnsiTheme="minorEastAsia"/>
                <w:kern w:val="0"/>
                <w:szCs w:val="21"/>
              </w:rPr>
              <w:t>√)</w:t>
            </w:r>
          </w:p>
        </w:tc>
        <w:tc>
          <w:tcPr>
            <w:tcW w:w="2976"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rPr>
              <w:t>□</w:t>
            </w:r>
            <w:r>
              <w:rPr>
                <w:rFonts w:hint="eastAsia" w:ascii="宋体" w:hAnsi="宋体" w:cs="Arial"/>
                <w:kern w:val="0"/>
                <w:szCs w:val="21"/>
              </w:rPr>
              <w:t>艺体外组</w:t>
            </w:r>
          </w:p>
          <w:p>
            <w:pPr>
              <w:widowControl/>
              <w:rPr>
                <w:rFonts w:ascii="宋体" w:hAnsi="宋体" w:cs="Arial"/>
                <w:kern w:val="0"/>
                <w:szCs w:val="21"/>
              </w:rPr>
            </w:pPr>
            <w:r>
              <w:rPr>
                <w:rFonts w:hint="eastAsia" w:cs="Arial" w:asciiTheme="minorEastAsia" w:hAnsiTheme="minorEastAsia"/>
                <w:kern w:val="0"/>
                <w:szCs w:val="21"/>
              </w:rPr>
              <w:t>□马克思主义理论</w:t>
            </w:r>
            <w:r>
              <w:rPr>
                <w:rFonts w:hint="eastAsia" w:ascii="宋体" w:hAnsi="宋体" w:cs="Arial"/>
                <w:kern w:val="0"/>
                <w:szCs w:val="21"/>
              </w:rPr>
              <w:t>组</w:t>
            </w:r>
          </w:p>
        </w:tc>
      </w:tr>
      <w:tr>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现任专业技术职务聘任时间及聘任单位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时间：2009.12</w:t>
            </w:r>
          </w:p>
          <w:p>
            <w:pPr>
              <w:widowControl/>
              <w:jc w:val="left"/>
              <w:rPr>
                <w:rFonts w:ascii="宋体" w:hAnsi="宋体" w:cs="Arial"/>
                <w:kern w:val="0"/>
                <w:szCs w:val="21"/>
              </w:rPr>
            </w:pPr>
            <w:r>
              <w:rPr>
                <w:rFonts w:hint="eastAsia" w:ascii="宋体" w:hAnsi="宋体" w:cs="Arial"/>
                <w:kern w:val="0"/>
                <w:szCs w:val="21"/>
              </w:rPr>
              <w:t>单位：海南师范大学</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13年1个月</w:t>
            </w:r>
          </w:p>
        </w:tc>
        <w:tc>
          <w:tcPr>
            <w:tcW w:w="857" w:type="dxa"/>
            <w:gridSpan w:val="2"/>
            <w:tcBorders>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高等学校教师资格</w:t>
            </w:r>
          </w:p>
        </w:tc>
      </w:tr>
      <w:tr>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高校教师资格证</w:t>
            </w:r>
          </w:p>
          <w:p>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9"/>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数学</w:t>
            </w:r>
          </w:p>
        </w:tc>
        <w:tc>
          <w:tcPr>
            <w:tcW w:w="1678"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CET-6</w:t>
            </w:r>
          </w:p>
        </w:tc>
      </w:tr>
      <w:tr>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数学教育</w:t>
            </w:r>
          </w:p>
        </w:tc>
        <w:tc>
          <w:tcPr>
            <w:tcW w:w="163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教学科研型教授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kern w:val="0"/>
                <w:szCs w:val="21"/>
              </w:rPr>
            </w:pPr>
            <w:r>
              <w:rPr>
                <w:rFonts w:hint="eastAsia" w:cs="Arial" w:asciiTheme="minorEastAsia" w:hAnsiTheme="minorEastAsia"/>
                <w:kern w:val="0"/>
                <w:sz w:val="22"/>
              </w:rPr>
              <w:t>否</w:t>
            </w:r>
          </w:p>
        </w:tc>
      </w:tr>
      <w:tr>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破格申报条件</w:t>
            </w:r>
          </w:p>
          <w:p>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直接评审条件</w:t>
            </w:r>
          </w:p>
          <w:p>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学习培训经历</w:t>
            </w:r>
          </w:p>
          <w:p>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w:t>
            </w:r>
          </w:p>
          <w:p>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证明人</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2010.12.1</w:t>
            </w:r>
            <w:r>
              <w:rPr>
                <w:rFonts w:ascii="宋体" w:hAnsi="宋体" w:cs="Arial"/>
                <w:kern w:val="0"/>
                <w:szCs w:val="21"/>
              </w:rPr>
              <w:t>—</w:t>
            </w:r>
            <w:r>
              <w:rPr>
                <w:rFonts w:hint="eastAsia" w:ascii="宋体" w:hAnsi="宋体" w:cs="Arial"/>
                <w:kern w:val="0"/>
                <w:szCs w:val="21"/>
              </w:rPr>
              <w:t>2010.12.10</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华南师范大学</w:t>
            </w: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数学科学学院；基础教育培训与研究院</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沈有建</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2021.10.21</w:t>
            </w:r>
            <w:r>
              <w:rPr>
                <w:rFonts w:ascii="宋体" w:hAnsi="宋体" w:cs="Arial"/>
                <w:kern w:val="0"/>
                <w:szCs w:val="21"/>
              </w:rPr>
              <w:t>—</w:t>
            </w:r>
            <w:r>
              <w:rPr>
                <w:rFonts w:hint="eastAsia" w:ascii="宋体" w:hAnsi="宋体" w:cs="Arial"/>
                <w:kern w:val="0"/>
                <w:szCs w:val="21"/>
              </w:rPr>
              <w:t>2021.10.30</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天津师范大学</w:t>
            </w: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教育学部</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孙自强</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bl>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 w:val="24"/>
              </w:rPr>
            </w:pPr>
            <w:r>
              <w:rPr>
                <w:rFonts w:hint="eastAsia"/>
                <w:sz w:val="24"/>
              </w:rPr>
              <w:t>起  止  时  间</w:t>
            </w:r>
          </w:p>
        </w:tc>
        <w:tc>
          <w:tcPr>
            <w:tcW w:w="3265"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jc w:val="center"/>
              <w:rPr>
                <w:szCs w:val="21"/>
              </w:rPr>
            </w:pPr>
            <w:r>
              <w:rPr>
                <w:rFonts w:hint="eastAsia"/>
                <w:szCs w:val="21"/>
              </w:rPr>
              <w:t xml:space="preserve"> 2009年12月—2020年   1月</w:t>
            </w:r>
          </w:p>
        </w:tc>
        <w:tc>
          <w:tcPr>
            <w:tcW w:w="3265" w:type="dxa"/>
          </w:tcPr>
          <w:p>
            <w:pPr>
              <w:rPr>
                <w:sz w:val="18"/>
              </w:rPr>
            </w:pPr>
            <w:r>
              <w:rPr>
                <w:sz w:val="18"/>
              </w:rPr>
              <w:t>海南师范大学数学与统计学院</w:t>
            </w:r>
          </w:p>
        </w:tc>
        <w:tc>
          <w:tcPr>
            <w:tcW w:w="2410" w:type="dxa"/>
          </w:tcPr>
          <w:p>
            <w:pPr>
              <w:rPr>
                <w:sz w:val="18"/>
              </w:rPr>
            </w:pPr>
            <w:r>
              <w:rPr>
                <w:sz w:val="18"/>
              </w:rPr>
              <w:t>数学教师</w:t>
            </w:r>
          </w:p>
        </w:tc>
        <w:tc>
          <w:tcPr>
            <w:tcW w:w="1701" w:type="dxa"/>
          </w:tcPr>
          <w:p>
            <w:pPr>
              <w:rPr>
                <w:sz w:val="18"/>
              </w:rPr>
            </w:pPr>
            <w:r>
              <w:rPr>
                <w:sz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jc w:val="center"/>
              <w:rPr>
                <w:sz w:val="18"/>
              </w:rPr>
            </w:pPr>
            <w:r>
              <w:rPr>
                <w:rFonts w:hint="eastAsia"/>
                <w:szCs w:val="21"/>
              </w:rPr>
              <w:t xml:space="preserve"> 2020年 至今</w:t>
            </w:r>
          </w:p>
        </w:tc>
        <w:tc>
          <w:tcPr>
            <w:tcW w:w="3265" w:type="dxa"/>
          </w:tcPr>
          <w:p>
            <w:pPr>
              <w:rPr>
                <w:sz w:val="18"/>
              </w:rPr>
            </w:pPr>
            <w:r>
              <w:rPr>
                <w:sz w:val="18"/>
              </w:rPr>
              <w:t>海南师范大学教师教育学院</w:t>
            </w:r>
          </w:p>
        </w:tc>
        <w:tc>
          <w:tcPr>
            <w:tcW w:w="2410" w:type="dxa"/>
          </w:tcPr>
          <w:p>
            <w:pPr>
              <w:rPr>
                <w:sz w:val="18"/>
              </w:rPr>
            </w:pPr>
            <w:r>
              <w:rPr>
                <w:sz w:val="18"/>
              </w:rPr>
              <w:t>数学学科教学论教师</w:t>
            </w:r>
          </w:p>
        </w:tc>
        <w:tc>
          <w:tcPr>
            <w:tcW w:w="1701" w:type="dxa"/>
          </w:tcPr>
          <w:p>
            <w:pPr>
              <w:rPr>
                <w:sz w:val="18"/>
              </w:rPr>
            </w:pPr>
            <w:r>
              <w:rPr>
                <w:sz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jc w:val="center"/>
              <w:rPr>
                <w:sz w:val="18"/>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思想品德鉴定及</w:t>
            </w:r>
          </w:p>
          <w:p>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2009年</w:t>
            </w:r>
            <w:r>
              <w:rPr>
                <w:rFonts w:ascii="宋体" w:hAnsi="宋体" w:cs="Arial"/>
                <w:kern w:val="0"/>
                <w:szCs w:val="21"/>
              </w:rPr>
              <w:t>—</w:t>
            </w:r>
            <w:r>
              <w:rPr>
                <w:rFonts w:hint="eastAsia" w:ascii="宋体" w:hAnsi="宋体" w:cs="Arial"/>
                <w:kern w:val="0"/>
                <w:szCs w:val="21"/>
              </w:rPr>
              <w:t>2022年，</w:t>
            </w:r>
            <w:r>
              <w:rPr>
                <w:rFonts w:hint="eastAsia"/>
                <w:color w:val="000000"/>
                <w:szCs w:val="21"/>
                <w:shd w:val="clear" w:color="auto" w:fill="FFFFFF"/>
              </w:rPr>
              <w:t>年度考核均为</w:t>
            </w:r>
            <w:r>
              <w:rPr>
                <w:rFonts w:hint="eastAsia" w:ascii="宋体" w:hAnsi="宋体"/>
              </w:rPr>
              <w:t>称职及以上</w:t>
            </w:r>
            <w:r>
              <w:rPr>
                <w:rFonts w:hint="eastAsia"/>
                <w:color w:val="000000"/>
                <w:szCs w:val="21"/>
                <w:shd w:val="clear" w:color="auto" w:fill="FFFFFF"/>
              </w:rPr>
              <w:t>，其中2009年，2016年和2020年三年的年度考核为优秀。</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themeColor="text1"/>
                <w:kern w:val="0"/>
                <w:szCs w:val="21"/>
              </w:rPr>
            </w:pPr>
            <w:r>
              <w:rPr>
                <w:rFonts w:hint="eastAsia" w:ascii="宋体" w:hAnsi="宋体" w:cs="Arial"/>
                <w:color w:val="000000" w:themeColor="text1"/>
                <w:kern w:val="0"/>
                <w:szCs w:val="21"/>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kern w:val="0"/>
                <w:szCs w:val="21"/>
              </w:rPr>
            </w:pP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kern w:val="0"/>
                <w:szCs w:val="21"/>
              </w:rPr>
            </w:pPr>
            <w:r>
              <w:rPr>
                <w:rFonts w:hint="eastAsia" w:cs="Arial" w:asciiTheme="minorEastAsia" w:hAnsiTheme="minorEastAsia"/>
                <w:kern w:val="0"/>
                <w:szCs w:val="21"/>
              </w:rPr>
              <w:t>2019-2020（一）赴儋州挂职</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2011年9月到2015年6月担任2011级数学与应用数学1班班主任</w:t>
            </w:r>
          </w:p>
        </w:tc>
      </w:tr>
    </w:tbl>
    <w:p/>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3341</w:t>
            </w:r>
            <w:r>
              <w:rPr>
                <w:rFonts w:hint="eastAsia" w:ascii="仿宋_GB2312" w:eastAsia="仿宋_GB2312"/>
                <w:szCs w:val="21"/>
              </w:rPr>
              <w:t>学时，年均</w:t>
            </w:r>
            <w:r>
              <w:rPr>
                <w:rFonts w:hint="eastAsia" w:ascii="仿宋_GB2312" w:eastAsia="仿宋_GB2312"/>
                <w:szCs w:val="21"/>
                <w:u w:val="single"/>
              </w:rPr>
              <w:t xml:space="preserve"> 267.3 </w:t>
            </w:r>
            <w:r>
              <w:rPr>
                <w:rFonts w:hint="eastAsia" w:ascii="仿宋_GB2312" w:eastAsia="仿宋_GB2312"/>
                <w:szCs w:val="21"/>
              </w:rPr>
              <w:t>学时，其中本科生课堂教学工作量共计</w:t>
            </w:r>
            <w:r>
              <w:rPr>
                <w:rFonts w:hint="eastAsia" w:ascii="仿宋_GB2312" w:eastAsia="仿宋_GB2312"/>
                <w:szCs w:val="21"/>
                <w:u w:val="single"/>
              </w:rPr>
              <w:t>3089</w:t>
            </w:r>
            <w:r>
              <w:rPr>
                <w:rFonts w:hint="eastAsia" w:ascii="仿宋_GB2312" w:eastAsia="仿宋_GB2312"/>
                <w:szCs w:val="21"/>
              </w:rPr>
              <w:t>学时，年均</w:t>
            </w:r>
            <w:r>
              <w:rPr>
                <w:rFonts w:hint="eastAsia" w:ascii="仿宋_GB2312" w:eastAsia="仿宋_GB2312"/>
                <w:szCs w:val="21"/>
                <w:u w:val="single"/>
              </w:rPr>
              <w:t xml:space="preserve"> 247.1 </w:t>
            </w:r>
            <w:r>
              <w:rPr>
                <w:rFonts w:hint="eastAsia" w:ascii="仿宋_GB2312" w:eastAsia="仿宋_GB2312"/>
                <w:szCs w:val="21"/>
              </w:rPr>
              <w:t>学时，其中实践类共计</w:t>
            </w:r>
            <w:r>
              <w:rPr>
                <w:rFonts w:hint="eastAsia" w:ascii="仿宋_GB2312" w:eastAsia="仿宋_GB2312"/>
                <w:szCs w:val="21"/>
                <w:u w:val="single"/>
              </w:rPr>
              <w:t xml:space="preserve"> 180 </w:t>
            </w:r>
            <w:r>
              <w:rPr>
                <w:rFonts w:hint="eastAsia" w:ascii="仿宋_GB2312" w:eastAsia="仿宋_GB2312"/>
                <w:szCs w:val="21"/>
              </w:rPr>
              <w:t>学时，年均</w:t>
            </w:r>
            <w:r>
              <w:rPr>
                <w:rFonts w:hint="eastAsia" w:ascii="仿宋_GB2312" w:eastAsia="仿宋_GB2312"/>
                <w:szCs w:val="21"/>
                <w:u w:val="single"/>
              </w:rPr>
              <w:t xml:space="preserve"> 14.4   </w:t>
            </w:r>
            <w:r>
              <w:rPr>
                <w:rFonts w:hint="eastAsia" w:ascii="仿宋_GB2312" w:eastAsia="仿宋_GB2312"/>
                <w:szCs w:val="21"/>
              </w:rPr>
              <w:t>学时。</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2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②</w:t>
            </w:r>
            <w:r>
              <w:rPr>
                <w:rFonts w:hint="eastAsia" w:ascii="仿宋_GB2312" w:hAnsi="宋体" w:eastAsia="仿宋_GB2312" w:cs="Arial"/>
                <w:kern w:val="0"/>
                <w:szCs w:val="21"/>
              </w:rPr>
              <w:fldChar w:fldCharType="end"/>
            </w:r>
            <w:r>
              <w:rPr>
                <w:rFonts w:hint="eastAsia" w:ascii="仿宋_GB2312" w:hAnsi="宋体" w:eastAsia="仿宋_GB2312" w:cs="Arial"/>
                <w:kern w:val="0"/>
                <w:szCs w:val="21"/>
              </w:rPr>
              <w:t>任现职以来教学评估达到“合格”以上占</w:t>
            </w:r>
            <w:r>
              <w:rPr>
                <w:rFonts w:hint="eastAsia" w:ascii="仿宋_GB2312" w:hAnsi="宋体" w:eastAsia="仿宋_GB2312" w:cs="Arial"/>
                <w:kern w:val="0"/>
                <w:szCs w:val="21"/>
                <w:u w:val="single"/>
              </w:rPr>
              <w:t xml:space="preserve"> 100 %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3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③</w:t>
            </w:r>
            <w:r>
              <w:rPr>
                <w:rFonts w:hint="eastAsia" w:ascii="仿宋_GB2312" w:hAnsi="宋体" w:eastAsia="仿宋_GB2312" w:cs="Arial"/>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w:t>
            </w:r>
            <w:r>
              <w:rPr>
                <w:rFonts w:hint="eastAsia" w:ascii="仿宋_GB2312" w:eastAsia="仿宋_GB2312"/>
                <w:szCs w:val="21"/>
              </w:rPr>
              <w:t>等级。</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4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④</w:t>
            </w:r>
            <w:r>
              <w:rPr>
                <w:rFonts w:hint="eastAsia" w:ascii="仿宋_GB2312" w:hAnsi="宋体" w:eastAsia="仿宋_GB2312" w:cs="Arial"/>
                <w:kern w:val="0"/>
                <w:szCs w:val="21"/>
              </w:rPr>
              <w:fldChar w:fldCharType="end"/>
            </w:r>
            <w:r>
              <w:rPr>
                <w:rFonts w:hint="eastAsia" w:ascii="宋体" w:hAnsi="宋体" w:eastAsia="宋体" w:cs="宋体"/>
                <w:kern w:val="0"/>
                <w:szCs w:val="21"/>
              </w:rPr>
              <w:t>担任毕业实习和论文指导工作</w:t>
            </w:r>
            <w:r>
              <w:rPr>
                <w:rFonts w:hint="eastAsia" w:ascii="Malgun Gothic Semilight" w:hAnsi="Malgun Gothic Semilight" w:eastAsia="Malgun Gothic Semilight" w:cs="Malgun Gothic Semilight"/>
                <w:kern w:val="0"/>
                <w:szCs w:val="21"/>
              </w:rPr>
              <w:t>（</w:t>
            </w:r>
            <w:r>
              <w:rPr>
                <w:rFonts w:hint="eastAsia" w:ascii="仿宋_GB2312" w:hAnsi="宋体" w:eastAsia="仿宋_GB2312" w:cs="宋体"/>
                <w:kern w:val="0"/>
                <w:szCs w:val="21"/>
              </w:rPr>
              <w:t>13 ）</w:t>
            </w:r>
            <w:r>
              <w:rPr>
                <w:rFonts w:hint="eastAsia" w:ascii="宋体" w:hAnsi="宋体" w:eastAsia="宋体" w:cs="宋体"/>
                <w:kern w:val="0"/>
                <w:szCs w:val="21"/>
              </w:rPr>
              <w:t>届</w:t>
            </w:r>
            <w:r>
              <w:rPr>
                <w:rFonts w:hint="eastAsia" w:ascii="Malgun Gothic Semilight" w:hAnsi="Malgun Gothic Semilight" w:eastAsia="Malgun Gothic Semilight" w:cs="Malgun Gothic Semilight"/>
                <w:kern w:val="0"/>
                <w:szCs w:val="21"/>
              </w:rPr>
              <w:t>；</w:t>
            </w:r>
            <w:r>
              <w:rPr>
                <w:rFonts w:hint="eastAsia" w:ascii="宋体" w:hAnsi="宋体" w:eastAsia="宋体" w:cs="宋体"/>
                <w:kern w:val="0"/>
                <w:szCs w:val="21"/>
              </w:rPr>
              <w:t>或担任本科生创新创业活动</w:t>
            </w:r>
            <w:r>
              <w:rPr>
                <w:rFonts w:hint="eastAsia" w:ascii="Malgun Gothic Semilight" w:hAnsi="Malgun Gothic Semilight" w:eastAsia="Malgun Gothic Semilight" w:cs="Malgun Gothic Semilight"/>
                <w:kern w:val="0"/>
                <w:szCs w:val="21"/>
              </w:rPr>
              <w:t>（</w:t>
            </w:r>
            <w:r>
              <w:rPr>
                <w:rFonts w:hint="eastAsia" w:ascii="仿宋_GB2312" w:hAnsi="宋体" w:eastAsia="仿宋_GB2312" w:cs="宋体"/>
                <w:kern w:val="0"/>
                <w:szCs w:val="21"/>
              </w:rPr>
              <w:t xml:space="preserve">   ）</w:t>
            </w:r>
            <w:r>
              <w:rPr>
                <w:rFonts w:hint="eastAsia" w:ascii="宋体" w:hAnsi="宋体" w:eastAsia="宋体" w:cs="宋体"/>
                <w:kern w:val="0"/>
                <w:szCs w:val="21"/>
              </w:rPr>
              <w:t>项</w:t>
            </w:r>
            <w:r>
              <w:rPr>
                <w:rFonts w:hint="eastAsia" w:ascii="Malgun Gothic Semilight" w:hAnsi="Malgun Gothic Semilight" w:eastAsia="Malgun Gothic Semilight" w:cs="Malgun Gothic Semilight"/>
                <w:kern w:val="0"/>
                <w:szCs w:val="21"/>
              </w:rPr>
              <w:t>；</w:t>
            </w:r>
            <w:r>
              <w:rPr>
                <w:rFonts w:hint="eastAsia" w:ascii="宋体" w:hAnsi="宋体" w:eastAsia="宋体" w:cs="宋体"/>
                <w:kern w:val="0"/>
                <w:szCs w:val="21"/>
              </w:rPr>
              <w:t>或担任本科生专业竞赛指导</w:t>
            </w:r>
            <w:r>
              <w:rPr>
                <w:rFonts w:hint="eastAsia" w:ascii="Malgun Gothic Semilight" w:hAnsi="Malgun Gothic Semilight" w:eastAsia="Malgun Gothic Semilight" w:cs="Malgun Gothic Semilight"/>
                <w:kern w:val="0"/>
                <w:szCs w:val="21"/>
              </w:rPr>
              <w:t>（</w:t>
            </w:r>
            <w:r>
              <w:rPr>
                <w:rFonts w:hint="eastAsia" w:ascii="仿宋_GB2312" w:hAnsi="宋体" w:eastAsia="仿宋_GB2312" w:cs="宋体"/>
                <w:kern w:val="0"/>
                <w:szCs w:val="21"/>
              </w:rPr>
              <w:t xml:space="preserve">   ）</w:t>
            </w:r>
            <w:r>
              <w:rPr>
                <w:rFonts w:hint="eastAsia" w:ascii="宋体" w:hAnsi="宋体" w:eastAsia="宋体" w:cs="宋体"/>
                <w:kern w:val="0"/>
                <w:szCs w:val="21"/>
              </w:rPr>
              <w:t>项</w:t>
            </w:r>
            <w:r>
              <w:rPr>
                <w:rFonts w:hint="eastAsia" w:ascii="Malgun Gothic Semilight" w:hAnsi="Malgun Gothic Semilight" w:eastAsia="Malgun Gothic Semilight" w:cs="Malgun Gothic Semilight"/>
                <w:kern w:val="0"/>
                <w:szCs w:val="21"/>
              </w:rPr>
              <w:t>；</w:t>
            </w:r>
            <w:r>
              <w:rPr>
                <w:rFonts w:hint="eastAsia" w:ascii="宋体" w:hAnsi="宋体" w:eastAsia="宋体" w:cs="宋体"/>
                <w:kern w:val="0"/>
                <w:szCs w:val="21"/>
              </w:rPr>
              <w:t>或担任本科生开展寒暑假社会实践</w:t>
            </w:r>
            <w:r>
              <w:rPr>
                <w:rFonts w:hint="eastAsia" w:ascii="Malgun Gothic Semilight" w:hAnsi="Malgun Gothic Semilight" w:eastAsia="Malgun Gothic Semilight" w:cs="Malgun Gothic Semilight"/>
                <w:kern w:val="0"/>
                <w:szCs w:val="21"/>
              </w:rPr>
              <w:t>（</w:t>
            </w:r>
            <w:r>
              <w:rPr>
                <w:rFonts w:hint="eastAsia" w:ascii="仿宋_GB2312" w:hAnsi="宋体" w:eastAsia="仿宋_GB2312" w:cs="宋体"/>
                <w:kern w:val="0"/>
                <w:szCs w:val="21"/>
              </w:rPr>
              <w:t xml:space="preserve">   ）</w:t>
            </w:r>
            <w:r>
              <w:rPr>
                <w:rFonts w:hint="eastAsia" w:ascii="宋体" w:hAnsi="宋体" w:eastAsia="宋体" w:cs="宋体"/>
                <w:kern w:val="0"/>
                <w:szCs w:val="21"/>
              </w:rPr>
              <w:t>项</w:t>
            </w:r>
            <w:r>
              <w:rPr>
                <w:rFonts w:hint="eastAsia" w:ascii="Malgun Gothic Semilight" w:hAnsi="Malgun Gothic Semilight" w:eastAsia="Malgun Gothic Semilight" w:cs="Malgun Gothic Semilight"/>
                <w:kern w:val="0"/>
                <w:szCs w:val="21"/>
              </w:rPr>
              <w:t>。</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2009-2010（</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数学教学论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ascii="宋体" w:hAnsi="宋体" w:eastAsia="宋体" w:cs="宋体"/>
                <w:szCs w:val="21"/>
              </w:rPr>
              <w:t>数学</w:t>
            </w:r>
            <w:r>
              <w:rPr>
                <w:rFonts w:hint="eastAsia" w:ascii="宋体" w:hAnsi="宋体" w:eastAsia="宋体" w:cs="宋体"/>
                <w:szCs w:val="21"/>
              </w:rPr>
              <w:t>2008本1.2.3班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36*3=108</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cs="宋体"/>
                <w:szCs w:val="21"/>
              </w:rPr>
              <w:t>数学技能</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ascii="宋体" w:hAnsi="宋体" w:eastAsia="宋体" w:cs="宋体"/>
                <w:szCs w:val="21"/>
              </w:rPr>
              <w:t>数学</w:t>
            </w:r>
            <w:r>
              <w:rPr>
                <w:rFonts w:hint="eastAsia" w:ascii="宋体" w:hAnsi="宋体" w:eastAsia="宋体" w:cs="宋体"/>
                <w:szCs w:val="21"/>
              </w:rPr>
              <w:t>2007本1.2.3班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36*3=108</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数学文化</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eastAsia="宋体" w:cs="宋体"/>
                <w:szCs w:val="21"/>
              </w:rPr>
              <w:t>数学</w:t>
            </w:r>
            <w:r>
              <w:rPr>
                <w:rFonts w:hint="eastAsia" w:ascii="宋体" w:hAnsi="宋体" w:eastAsia="宋体" w:cs="宋体"/>
                <w:szCs w:val="21"/>
              </w:rPr>
              <w:t>2008本123合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2010-2011(</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线性代数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高等数学（</w:t>
            </w:r>
            <w:r>
              <w:rPr>
                <w:rFonts w:hint="eastAsia" w:ascii="宋体" w:hAnsi="宋体" w:eastAsia="宋体" w:cs="宋体"/>
                <w:szCs w:val="21"/>
              </w:rPr>
              <w:t>C</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宋体" w:hAnsi="宋体" w:eastAsia="宋体" w:cs="宋体"/>
                <w:szCs w:val="21"/>
              </w:rPr>
              <w:t>人管、会计</w:t>
            </w:r>
            <w:r>
              <w:rPr>
                <w:rFonts w:hint="eastAsia" w:ascii="仿宋_GB2312" w:eastAsia="仿宋_GB2312"/>
                <w:szCs w:val="21"/>
              </w:rPr>
              <w:t>2010</w:t>
            </w:r>
            <w:r>
              <w:rPr>
                <w:rFonts w:hint="eastAsia" w:ascii="宋体" w:hAnsi="宋体" w:eastAsia="宋体" w:cs="宋体"/>
                <w:szCs w:val="21"/>
              </w:rPr>
              <w:t>本；经济2010本1.2合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52*2=104</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2010-2011（</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班级管理</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数学2008本123合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38</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数学课程教学技能</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数学2008本1.2.3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34*3=102</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基础教育新课程改革</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数学2008本123合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38</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2011-2012（</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初等数学研究选讲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数学2009本1.2.3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54*3=162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2011-2012(</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中学数学教材研究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数学2009本1.2.3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34*3=102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2012-2013（</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初等数学研究选讲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数学2010本1.2.3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68*3=204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2012-2013（</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C</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金融2012本1.2合；经济2012本1.2合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72*2=144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2013-2014（</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D</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公管、人管2013本；应心2013本</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60*2=120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2013-2014（</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C</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经济2013本1.2合；经济2013本3.4合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72*2=144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D</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应心2014本；经济2014本1.2合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56*2=112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C</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国贸、会计2014本</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56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C</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经济学2015本</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56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高等数学（</w:t>
            </w:r>
            <w:r>
              <w:rPr>
                <w:rFonts w:hint="eastAsia" w:ascii="宋体" w:hAnsi="宋体" w:eastAsia="宋体" w:cs="宋体"/>
                <w:szCs w:val="21"/>
              </w:rPr>
              <w:t>C</w:t>
            </w:r>
            <w:r>
              <w:rPr>
                <w:rFonts w:ascii="宋体" w:hAnsi="宋体" w:eastAsia="宋体" w:cs="宋体"/>
                <w:szCs w:val="21"/>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经济学2015本</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高等数学</w:t>
            </w:r>
            <w:r>
              <w:rPr>
                <w:rFonts w:ascii="宋体" w:hAnsi="宋体"/>
              </w:rPr>
              <w:fldChar w:fldCharType="begin"/>
            </w:r>
            <w:r>
              <w:rPr>
                <w:rFonts w:ascii="宋体" w:hAnsi="宋体"/>
              </w:rPr>
              <w:instrText xml:space="preserve"> </w:instrText>
            </w:r>
            <w:r>
              <w:rPr>
                <w:rFonts w:hint="eastAsia" w:ascii="宋体" w:hAnsi="宋体"/>
              </w:rPr>
              <w:instrText xml:space="preserve">= 1 \* ROMAN</w:instrText>
            </w:r>
            <w:r>
              <w:rPr>
                <w:rFonts w:ascii="宋体" w:hAnsi="宋体"/>
              </w:rPr>
              <w:instrText xml:space="preserve"> </w:instrText>
            </w:r>
            <w:r>
              <w:rPr>
                <w:rFonts w:ascii="宋体" w:hAnsi="宋体"/>
              </w:rPr>
              <w:fldChar w:fldCharType="separate"/>
            </w:r>
            <w:r>
              <w:rPr>
                <w:rFonts w:ascii="宋体" w:hAnsi="宋体"/>
              </w:rPr>
              <w:t>I</w:t>
            </w:r>
            <w:r>
              <w:rPr>
                <w:rFonts w:ascii="宋体" w:hAnsi="宋体"/>
              </w:rPr>
              <w:fldChar w:fldCharType="end"/>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w:t>
            </w:r>
            <w:r>
              <w:rPr>
                <w:rFonts w:hint="eastAsia" w:ascii="宋体" w:hAnsi="宋体" w:eastAsia="宋体" w:cs="宋体"/>
                <w:szCs w:val="21"/>
              </w:rPr>
              <w:t>管理类1.3合；2.4合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56*2=112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2016-2017（</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概率论与数理统计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2015</w:t>
            </w:r>
            <w:r>
              <w:rPr>
                <w:rFonts w:hint="eastAsia" w:ascii="宋体" w:hAnsi="宋体" w:eastAsia="宋体" w:cs="宋体"/>
                <w:szCs w:val="21"/>
              </w:rPr>
              <w:t>旅管1.2合；酒店管理；地理科学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51*3=153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高等数学</w:t>
            </w:r>
            <w:r>
              <w:rPr>
                <w:rFonts w:ascii="宋体" w:hAnsi="宋体"/>
              </w:rPr>
              <w:fldChar w:fldCharType="begin"/>
            </w:r>
            <w:r>
              <w:rPr>
                <w:rFonts w:ascii="宋体" w:hAnsi="宋体"/>
              </w:rPr>
              <w:instrText xml:space="preserve"> </w:instrText>
            </w:r>
            <w:r>
              <w:rPr>
                <w:rFonts w:hint="eastAsia" w:ascii="宋体" w:hAnsi="宋体"/>
              </w:rPr>
              <w:instrText xml:space="preserve">= 1 \* ROMAN</w:instrText>
            </w:r>
            <w:r>
              <w:rPr>
                <w:rFonts w:ascii="宋体" w:hAnsi="宋体"/>
              </w:rPr>
              <w:instrText xml:space="preserve"> </w:instrText>
            </w:r>
            <w:r>
              <w:rPr>
                <w:rFonts w:ascii="宋体" w:hAnsi="宋体"/>
              </w:rPr>
              <w:fldChar w:fldCharType="separate"/>
            </w:r>
            <w:r>
              <w:rPr>
                <w:rFonts w:ascii="宋体" w:hAnsi="宋体"/>
              </w:rPr>
              <w:t>I</w:t>
            </w:r>
            <w:r>
              <w:rPr>
                <w:rFonts w:ascii="宋体" w:hAnsi="宋体"/>
              </w:rPr>
              <w:fldChar w:fldCharType="end"/>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宋体" w:hAnsi="宋体"/>
              </w:rPr>
              <w:t>2017管理1.2班；2017管理3.4班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56*2=112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rPr>
                <w:rFonts w:hint="eastAsia" w:ascii="宋体" w:hAnsi="宋体"/>
              </w:rPr>
            </w:pPr>
            <w:r>
              <w:rPr>
                <w:rFonts w:hint="eastAsia" w:ascii="宋体" w:hAnsi="宋体"/>
              </w:rPr>
              <w:t>高等数学</w:t>
            </w:r>
            <w:r>
              <w:rPr>
                <w:rFonts w:ascii="宋体" w:hAnsi="宋体"/>
              </w:rPr>
              <w:fldChar w:fldCharType="begin"/>
            </w:r>
            <w:r>
              <w:rPr>
                <w:rFonts w:ascii="宋体" w:hAnsi="宋体"/>
              </w:rPr>
              <w:instrText xml:space="preserve"> </w:instrText>
            </w:r>
            <w:r>
              <w:rPr>
                <w:rFonts w:hint="eastAsia" w:ascii="宋体" w:hAnsi="宋体"/>
              </w:rPr>
              <w:instrText xml:space="preserve">= 2 \* ROMAN</w:instrText>
            </w:r>
            <w:r>
              <w:rPr>
                <w:rFonts w:ascii="宋体" w:hAnsi="宋体"/>
              </w:rPr>
              <w:instrText xml:space="preserve"> </w:instrText>
            </w:r>
            <w:r>
              <w:rPr>
                <w:rFonts w:ascii="宋体" w:hAnsi="宋体"/>
              </w:rPr>
              <w:fldChar w:fldCharType="separate"/>
            </w:r>
            <w:r>
              <w:rPr>
                <w:rFonts w:ascii="宋体" w:hAnsi="宋体"/>
              </w:rPr>
              <w:t>II</w:t>
            </w:r>
            <w:r>
              <w:rPr>
                <w:rFonts w:ascii="宋体" w:hAnsi="宋体"/>
              </w:rPr>
              <w:fldChar w:fldCharType="end"/>
            </w:r>
          </w:p>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宋体" w:hAnsi="宋体"/>
              </w:rPr>
              <w:t>2017管理1.2班；2017管理3.4班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68*2=136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2018-2019（</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初等数学研究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51*3=153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2018-2019（</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数学思想方法与中学数学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18*3=54</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rPr>
              <w:t>中学数学教学设计与案例分析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18*3=54</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2019-2020（</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rPr>
              <w:t>中学数学教学设计与案例分析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13*3=48</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rPr>
              <w:t>数学思想方法与中学数学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16*3=48</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2020-2021（</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初等数学研究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51*3=153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2020-2021（</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中学数学解题研究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34*3=102</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rPr>
              <w:t>数学思想方法与中学数学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w:t>
            </w:r>
            <w:r>
              <w:rPr>
                <w:rFonts w:hint="eastAsia" w:ascii="宋体" w:hAnsi="宋体" w:eastAsia="宋体" w:cs="宋体"/>
                <w:szCs w:val="21"/>
              </w:rPr>
              <w:t>数本1.2.3合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2021-2022（</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数学史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w:t>
            </w:r>
            <w:r>
              <w:rPr>
                <w:rFonts w:hint="eastAsia" w:ascii="宋体" w:hAnsi="宋体" w:eastAsia="宋体" w:cs="宋体"/>
                <w:szCs w:val="21"/>
              </w:rPr>
              <w:t>数本1.2.3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32*3=96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2021-2022（</w:t>
            </w:r>
            <w:r>
              <w:rPr>
                <w:rFonts w:hint="eastAsia" w:ascii="宋体" w:hAnsi="宋体" w:eastAsia="宋体" w:cs="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数学家与数学史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eastAsia="宋体" w:cs="宋体"/>
                <w:szCs w:val="21"/>
              </w:rPr>
              <w:t>南校区选修班；桂林洋选修班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16*2=32</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学科课程与教学论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w:t>
            </w:r>
            <w:r>
              <w:rPr>
                <w:rFonts w:hint="eastAsia" w:ascii="宋体" w:hAnsi="宋体" w:eastAsia="宋体" w:cs="宋体"/>
                <w:szCs w:val="21"/>
              </w:rPr>
              <w:t>数本1班，2班，3班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16*3=48</w:t>
            </w:r>
          </w:p>
        </w:tc>
        <w:tc>
          <w:tcPr>
            <w:tcW w:w="766" w:type="dxa"/>
            <w:vMerge w:val="continue"/>
            <w:tcBorders>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学科教学技能</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w:t>
            </w:r>
            <w:r>
              <w:rPr>
                <w:rFonts w:hint="eastAsia" w:ascii="宋体" w:hAnsi="宋体" w:eastAsia="宋体" w:cs="宋体"/>
                <w:szCs w:val="21"/>
              </w:rPr>
              <w:t>数本3班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2022-2023（</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数学家与数学史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eastAsia="宋体" w:cs="宋体"/>
                <w:szCs w:val="21"/>
              </w:rPr>
              <w:t>桂林洋选修班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6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学科课程与教学论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2020</w:t>
            </w:r>
            <w:r>
              <w:rPr>
                <w:rFonts w:hint="eastAsia" w:ascii="宋体" w:hAnsi="宋体" w:eastAsia="宋体" w:cs="宋体"/>
                <w:szCs w:val="21"/>
              </w:rPr>
              <w:t>数本1班，2班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16*2=32</w:t>
            </w:r>
          </w:p>
        </w:tc>
        <w:tc>
          <w:tcPr>
            <w:tcW w:w="7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宋体" w:hAnsi="宋体" w:eastAsia="宋体" w:cs="宋体"/>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3089</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2019</w:t>
            </w:r>
            <w:r>
              <w:rPr>
                <w:rFonts w:ascii="仿宋_GB2312" w:eastAsia="仿宋_GB2312"/>
                <w:szCs w:val="21"/>
              </w:rPr>
              <w:t>—</w:t>
            </w:r>
            <w:r>
              <w:rPr>
                <w:rFonts w:hint="eastAsia" w:ascii="仿宋_GB2312" w:eastAsia="仿宋_GB2312"/>
                <w:szCs w:val="21"/>
              </w:rPr>
              <w:t>2020（</w:t>
            </w:r>
            <w:r>
              <w:rPr>
                <w:rFonts w:hint="eastAsia" w:ascii="宋体" w:hAnsi="宋体" w:eastAsia="宋体" w:cs="宋体"/>
                <w:szCs w:val="21"/>
              </w:rPr>
              <w:t>二</w:t>
            </w:r>
            <w:r>
              <w:rPr>
                <w:rFonts w:hint="eastAsia" w:ascii="仿宋_GB2312" w:eastAsia="仿宋_GB2312"/>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现代数学与中学数学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w:t>
            </w:r>
            <w:r>
              <w:rPr>
                <w:rFonts w:hint="eastAsia" w:ascii="宋体" w:hAnsi="宋体" w:eastAsia="宋体" w:cs="宋体"/>
                <w:szCs w:val="21"/>
              </w:rPr>
              <w:t>级学科教学（数学）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2022-2023（</w:t>
            </w: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r>
              <w:rPr>
                <w:rFonts w:ascii="宋体" w:hAnsi="宋体" w:eastAsia="宋体" w:cs="宋体"/>
                <w:szCs w:val="21"/>
              </w:rPr>
              <w:t>数学思想概论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rPr>
            </w:pPr>
            <w:r>
              <w:rPr>
                <w:rFonts w:hint="eastAsia" w:ascii="仿宋_GB2312" w:eastAsia="仿宋_GB2312"/>
                <w:szCs w:val="21"/>
              </w:rPr>
              <w:t>2022</w:t>
            </w:r>
            <w:r>
              <w:rPr>
                <w:rFonts w:hint="eastAsia" w:ascii="宋体" w:hAnsi="宋体" w:eastAsia="宋体" w:cs="宋体"/>
                <w:szCs w:val="21"/>
              </w:rPr>
              <w:t>级学科教学（数学）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仿宋_GB2312" w:eastAsia="仿宋_GB2312"/>
                <w:szCs w:val="21"/>
              </w:rPr>
              <w:t>2022-2023(</w:t>
            </w:r>
            <w:r>
              <w:rPr>
                <w:rFonts w:hint="eastAsia" w:ascii="宋体" w:hAnsi="宋体" w:eastAsia="宋体" w:cs="宋体"/>
                <w:szCs w:val="21"/>
              </w:rPr>
              <w:t>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szCs w:val="21"/>
              </w:rPr>
              <w:t>教育实习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eastAsia="宋体" w:cs="宋体"/>
                <w:szCs w:val="21"/>
              </w:rPr>
              <w:t>定安实习分队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600" w:lineRule="exact"/>
              <w:jc w:val="left"/>
              <w:rPr>
                <w:rFonts w:hint="eastAsia" w:ascii="宋体" w:hAnsi="宋体"/>
                <w:sz w:val="24"/>
              </w:rPr>
            </w:pPr>
            <w:r>
              <w:rPr>
                <w:rFonts w:hint="eastAsia" w:ascii="宋体" w:hAnsi="宋体"/>
                <w:sz w:val="24"/>
              </w:rPr>
              <w:t>1.2010-2022年指导数学与应用数学专业2006级11位同学、2007级8位同学、2008级10位同学、2009级10位同学、2010级8位同学、2011级8位同学、2012级8位同学、2013级8位同学，2014级8位同学，2015级8位同学，2016级10为同学，2017级11位，2018级8位同学，共</w:t>
            </w:r>
            <w:r>
              <w:rPr>
                <w:rFonts w:hint="eastAsia" w:ascii="宋体" w:hAnsi="宋体"/>
                <w:b/>
                <w:sz w:val="24"/>
              </w:rPr>
              <w:t>116</w:t>
            </w:r>
            <w:r>
              <w:rPr>
                <w:rFonts w:hint="eastAsia" w:ascii="宋体" w:hAnsi="宋体"/>
                <w:sz w:val="24"/>
              </w:rPr>
              <w:t>位同学的本科毕业论文，均合格通过。</w:t>
            </w:r>
          </w:p>
          <w:p>
            <w:pPr>
              <w:spacing w:line="600" w:lineRule="exact"/>
              <w:jc w:val="left"/>
              <w:rPr>
                <w:rFonts w:hint="eastAsia" w:ascii="宋体" w:hAnsi="宋体"/>
                <w:sz w:val="24"/>
              </w:rPr>
            </w:pPr>
            <w:r>
              <w:rPr>
                <w:rFonts w:hint="eastAsia" w:ascii="宋体" w:hAnsi="宋体"/>
                <w:sz w:val="24"/>
              </w:rPr>
              <w:t>2.2010-2022年每年负责数学与应用数学专业学生的教育实习工作以及教育见习工作，两次获得“最受学员欢迎的教师”称号。2022年到定安担任教育实习</w:t>
            </w:r>
            <w:r>
              <w:rPr>
                <w:rFonts w:hint="eastAsia" w:ascii="宋体" w:hAnsi="宋体"/>
                <w:b/>
                <w:sz w:val="24"/>
              </w:rPr>
              <w:t>驻点</w:t>
            </w:r>
            <w:r>
              <w:rPr>
                <w:rFonts w:hint="eastAsia" w:ascii="宋体" w:hAnsi="宋体"/>
                <w:sz w:val="24"/>
              </w:rPr>
              <w:t>教师工作。</w:t>
            </w:r>
          </w:p>
          <w:p>
            <w:pPr>
              <w:spacing w:line="240" w:lineRule="exact"/>
              <w:rPr>
                <w:rFonts w:ascii="仿宋_GB2312" w:eastAsia="仿宋_GB2312"/>
                <w:szCs w:val="21"/>
              </w:rPr>
            </w:pPr>
            <w:r>
              <w:rPr>
                <w:rFonts w:hint="eastAsia" w:ascii="宋体" w:hAnsi="宋体"/>
                <w:sz w:val="24"/>
              </w:rPr>
              <w:t>3.2014-2017年，负责学校助飞工程初高中一体化实验班数学学科的指导工作，成绩优秀。</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tc>
      </w:tr>
    </w:tbl>
    <w:p>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100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100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078" w:type="dxa"/>
            <w:vAlign w:val="center"/>
          </w:tcPr>
          <w:p>
            <w:pPr>
              <w:jc w:val="center"/>
              <w:rPr>
                <w:rFonts w:cs="宋体" w:asciiTheme="minorEastAsia" w:hAnsiTheme="minorEastAsia"/>
                <w:kern w:val="0"/>
                <w:szCs w:val="21"/>
              </w:rPr>
            </w:pPr>
          </w:p>
        </w:tc>
        <w:tc>
          <w:tcPr>
            <w:tcW w:w="704" w:type="dxa"/>
            <w:vAlign w:val="center"/>
          </w:tcPr>
          <w:p>
            <w:pPr>
              <w:jc w:val="center"/>
              <w:rPr>
                <w:rFonts w:cs="宋体" w:asciiTheme="minorEastAsia" w:hAnsiTheme="minorEastAsia"/>
                <w:kern w:val="0"/>
                <w:szCs w:val="21"/>
              </w:rPr>
            </w:pPr>
          </w:p>
        </w:tc>
        <w:tc>
          <w:tcPr>
            <w:tcW w:w="845" w:type="dxa"/>
            <w:vAlign w:val="center"/>
          </w:tcPr>
          <w:p>
            <w:pPr>
              <w:jc w:val="center"/>
              <w:rPr>
                <w:rFonts w:cs="宋体" w:asciiTheme="minorEastAsia" w:hAnsiTheme="minorEastAsia"/>
                <w:kern w:val="0"/>
                <w:szCs w:val="21"/>
              </w:rPr>
            </w:pPr>
          </w:p>
        </w:tc>
        <w:tc>
          <w:tcPr>
            <w:tcW w:w="1759"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1500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1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3</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p/>
    <w:tbl>
      <w:tblPr>
        <w:tblStyle w:val="5"/>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pPr>
            <w:r>
              <w:rPr>
                <w:rFonts w:hint="eastAsia"/>
                <w:b/>
                <w:bCs/>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rPr>
            </w:pPr>
            <w:r>
              <w:rPr>
                <w:rFonts w:hint="eastAsia" w:eastAsia="宋体"/>
                <w:b/>
                <w:bCs/>
              </w:rPr>
              <w:t>类别</w:t>
            </w:r>
          </w:p>
        </w:tc>
        <w:tc>
          <w:tcPr>
            <w:tcW w:w="478" w:type="dxa"/>
            <w:tcBorders>
              <w:tl2br w:val="nil"/>
              <w:tr2bl w:val="nil"/>
            </w:tcBorders>
            <w:vAlign w:val="center"/>
          </w:tcPr>
          <w:p>
            <w:pPr>
              <w:jc w:val="center"/>
              <w:rPr>
                <w:b/>
                <w:bCs/>
              </w:rPr>
            </w:pPr>
            <w:r>
              <w:rPr>
                <w:rFonts w:hint="eastAsia"/>
                <w:b/>
                <w:bCs/>
              </w:rPr>
              <w:t>序号</w:t>
            </w:r>
          </w:p>
        </w:tc>
        <w:tc>
          <w:tcPr>
            <w:tcW w:w="736" w:type="dxa"/>
            <w:tcBorders>
              <w:tl2br w:val="nil"/>
              <w:tr2bl w:val="nil"/>
            </w:tcBorders>
            <w:vAlign w:val="center"/>
          </w:tcPr>
          <w:p>
            <w:pPr>
              <w:jc w:val="center"/>
              <w:rPr>
                <w:b/>
                <w:bCs/>
              </w:rPr>
            </w:pPr>
            <w:r>
              <w:rPr>
                <w:rFonts w:hint="eastAsia"/>
                <w:b/>
                <w:bCs/>
              </w:rPr>
              <w:t>项目等级</w:t>
            </w:r>
          </w:p>
        </w:tc>
        <w:tc>
          <w:tcPr>
            <w:tcW w:w="2196" w:type="dxa"/>
            <w:tcBorders>
              <w:tl2br w:val="nil"/>
              <w:tr2bl w:val="nil"/>
            </w:tcBorders>
            <w:vAlign w:val="center"/>
          </w:tcPr>
          <w:p>
            <w:pPr>
              <w:jc w:val="center"/>
              <w:rPr>
                <w:b/>
                <w:bCs/>
              </w:rPr>
            </w:pPr>
            <w:r>
              <w:rPr>
                <w:rFonts w:hint="eastAsia"/>
                <w:b/>
                <w:bCs/>
              </w:rPr>
              <w:t>项目名称</w:t>
            </w:r>
          </w:p>
        </w:tc>
        <w:tc>
          <w:tcPr>
            <w:tcW w:w="1036" w:type="dxa"/>
            <w:tcBorders>
              <w:tl2br w:val="nil"/>
              <w:tr2bl w:val="nil"/>
            </w:tcBorders>
            <w:vAlign w:val="center"/>
          </w:tcPr>
          <w:p>
            <w:pPr>
              <w:jc w:val="center"/>
              <w:rPr>
                <w:b/>
                <w:bCs/>
              </w:rPr>
            </w:pPr>
            <w:r>
              <w:rPr>
                <w:rFonts w:hint="eastAsia"/>
                <w:b/>
                <w:bCs/>
              </w:rPr>
              <w:t>批准号</w:t>
            </w:r>
          </w:p>
        </w:tc>
        <w:tc>
          <w:tcPr>
            <w:tcW w:w="932" w:type="dxa"/>
            <w:tcBorders>
              <w:tl2br w:val="nil"/>
              <w:tr2bl w:val="nil"/>
            </w:tcBorders>
            <w:vAlign w:val="center"/>
          </w:tcPr>
          <w:p>
            <w:pPr>
              <w:jc w:val="center"/>
              <w:rPr>
                <w:b/>
                <w:bCs/>
              </w:rPr>
            </w:pPr>
            <w:r>
              <w:rPr>
                <w:rFonts w:hint="eastAsia"/>
                <w:b/>
                <w:bCs/>
              </w:rPr>
              <w:t>项目</w:t>
            </w:r>
          </w:p>
          <w:p>
            <w:pPr>
              <w:jc w:val="center"/>
              <w:rPr>
                <w:b/>
                <w:bCs/>
              </w:rPr>
            </w:pPr>
            <w:r>
              <w:rPr>
                <w:rFonts w:hint="eastAsia"/>
                <w:b/>
                <w:bCs/>
              </w:rPr>
              <w:t>来源</w:t>
            </w:r>
          </w:p>
        </w:tc>
        <w:tc>
          <w:tcPr>
            <w:tcW w:w="850" w:type="dxa"/>
            <w:tcBorders>
              <w:tl2br w:val="nil"/>
              <w:tr2bl w:val="nil"/>
            </w:tcBorders>
            <w:vAlign w:val="center"/>
          </w:tcPr>
          <w:p>
            <w:pPr>
              <w:jc w:val="center"/>
              <w:rPr>
                <w:b/>
                <w:bCs/>
              </w:rPr>
            </w:pPr>
            <w:r>
              <w:rPr>
                <w:rFonts w:hint="eastAsia"/>
                <w:b/>
                <w:bCs/>
              </w:rPr>
              <w:t>立项</w:t>
            </w:r>
          </w:p>
          <w:p>
            <w:pPr>
              <w:jc w:val="center"/>
              <w:rPr>
                <w:rFonts w:eastAsia="宋体"/>
                <w:b/>
                <w:bCs/>
              </w:rPr>
            </w:pPr>
            <w:r>
              <w:rPr>
                <w:rFonts w:hint="eastAsia"/>
                <w:b/>
                <w:bCs/>
              </w:rPr>
              <w:t>年月</w:t>
            </w:r>
          </w:p>
        </w:tc>
        <w:tc>
          <w:tcPr>
            <w:tcW w:w="851" w:type="dxa"/>
            <w:tcBorders>
              <w:tl2br w:val="nil"/>
              <w:tr2bl w:val="nil"/>
            </w:tcBorders>
            <w:vAlign w:val="center"/>
          </w:tcPr>
          <w:p>
            <w:pPr>
              <w:jc w:val="center"/>
              <w:rPr>
                <w:rFonts w:eastAsia="宋体"/>
                <w:b/>
                <w:bCs/>
              </w:rPr>
            </w:pPr>
            <w:r>
              <w:rPr>
                <w:rFonts w:hint="eastAsia"/>
                <w:b/>
                <w:bCs/>
              </w:rPr>
              <w:t>立项经费（万元）</w:t>
            </w:r>
          </w:p>
        </w:tc>
        <w:tc>
          <w:tcPr>
            <w:tcW w:w="709" w:type="dxa"/>
            <w:tcBorders>
              <w:tl2br w:val="nil"/>
              <w:tr2bl w:val="nil"/>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708" w:type="dxa"/>
            <w:tcBorders>
              <w:tl2br w:val="nil"/>
              <w:tr2bl w:val="nil"/>
            </w:tcBorders>
            <w:vAlign w:val="center"/>
          </w:tcPr>
          <w:p>
            <w:pPr>
              <w:widowControl/>
              <w:jc w:val="center"/>
              <w:rPr>
                <w:rFonts w:eastAsia="宋体"/>
                <w:b/>
                <w:bCs/>
              </w:rPr>
            </w:pPr>
            <w:r>
              <w:rPr>
                <w:rFonts w:hint="eastAsia" w:eastAsia="宋体"/>
                <w:b/>
                <w:bCs/>
              </w:rPr>
              <w:t>是否</w:t>
            </w:r>
          </w:p>
          <w:p>
            <w:pPr>
              <w:widowControl/>
              <w:jc w:val="center"/>
              <w:rPr>
                <w:rFonts w:eastAsia="宋体"/>
                <w:b/>
                <w:bCs/>
              </w:rPr>
            </w:pPr>
            <w:r>
              <w:rPr>
                <w:rFonts w:hint="eastAsia" w:eastAsia="宋体"/>
                <w:b/>
                <w:bCs/>
              </w:rPr>
              <w:t>结项</w:t>
            </w:r>
          </w:p>
        </w:tc>
        <w:tc>
          <w:tcPr>
            <w:tcW w:w="709"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rPr>
            </w:pPr>
            <w:r>
              <w:rPr>
                <w:rFonts w:hint="eastAsia"/>
                <w:b/>
                <w:bCs/>
              </w:rPr>
              <w:t>可计分</w:t>
            </w:r>
          </w:p>
        </w:tc>
        <w:tc>
          <w:tcPr>
            <w:tcW w:w="478" w:type="dxa"/>
            <w:tcBorders>
              <w:tl2br w:val="nil"/>
              <w:tr2bl w:val="nil"/>
            </w:tcBorders>
            <w:vAlign w:val="center"/>
          </w:tcPr>
          <w:p>
            <w:r>
              <w:rPr>
                <w:rFonts w:hint="eastAsia"/>
              </w:rPr>
              <w:t>1</w:t>
            </w:r>
          </w:p>
        </w:tc>
        <w:tc>
          <w:tcPr>
            <w:tcW w:w="736" w:type="dxa"/>
            <w:tcBorders>
              <w:tl2br w:val="nil"/>
              <w:tr2bl w:val="nil"/>
            </w:tcBorders>
            <w:vAlign w:val="center"/>
          </w:tcPr>
          <w:p>
            <w:r>
              <w:rPr>
                <w:rFonts w:hint="eastAsia"/>
              </w:rPr>
              <w:t>B1</w:t>
            </w:r>
          </w:p>
        </w:tc>
        <w:tc>
          <w:tcPr>
            <w:tcW w:w="2196" w:type="dxa"/>
            <w:tcBorders>
              <w:tl2br w:val="nil"/>
              <w:tr2bl w:val="nil"/>
            </w:tcBorders>
            <w:vAlign w:val="center"/>
          </w:tcPr>
          <w:p>
            <w:pPr>
              <w:rPr>
                <w:szCs w:val="21"/>
              </w:rPr>
            </w:pPr>
            <w:r>
              <w:rPr>
                <w:rFonts w:hint="eastAsia" w:ascii="宋体" w:hAnsi="宋体"/>
                <w:bCs/>
                <w:szCs w:val="21"/>
              </w:rPr>
              <w:t>全国教育科学“十二五”规划2015年度教育部规划课题《海南省高中数学分层教学的理论与实践研究》</w:t>
            </w:r>
          </w:p>
        </w:tc>
        <w:tc>
          <w:tcPr>
            <w:tcW w:w="1036" w:type="dxa"/>
            <w:tcBorders>
              <w:tl2br w:val="nil"/>
              <w:tr2bl w:val="nil"/>
            </w:tcBorders>
            <w:vAlign w:val="center"/>
          </w:tcPr>
          <w:p>
            <w:r>
              <w:rPr>
                <w:rFonts w:hint="eastAsia" w:ascii="宋体" w:hAnsi="宋体"/>
                <w:bCs/>
                <w:sz w:val="24"/>
              </w:rPr>
              <w:t>FHB150453</w:t>
            </w:r>
          </w:p>
        </w:tc>
        <w:tc>
          <w:tcPr>
            <w:tcW w:w="932" w:type="dxa"/>
            <w:tcBorders>
              <w:tl2br w:val="nil"/>
              <w:tr2bl w:val="nil"/>
            </w:tcBorders>
            <w:vAlign w:val="center"/>
          </w:tcPr>
          <w:p>
            <w:r>
              <w:rPr>
                <w:rFonts w:hint="eastAsia" w:ascii="宋体" w:hAnsi="宋体"/>
              </w:rPr>
              <w:t>全国教育科学规划领导小组办公室</w:t>
            </w:r>
          </w:p>
        </w:tc>
        <w:tc>
          <w:tcPr>
            <w:tcW w:w="850" w:type="dxa"/>
            <w:tcBorders>
              <w:tl2br w:val="nil"/>
              <w:tr2bl w:val="nil"/>
            </w:tcBorders>
            <w:vAlign w:val="center"/>
          </w:tcPr>
          <w:p>
            <w:r>
              <w:rPr>
                <w:rFonts w:hint="eastAsia"/>
              </w:rPr>
              <w:t>2015.12</w:t>
            </w:r>
          </w:p>
        </w:tc>
        <w:tc>
          <w:tcPr>
            <w:tcW w:w="851" w:type="dxa"/>
            <w:tcBorders>
              <w:tl2br w:val="nil"/>
              <w:tr2bl w:val="nil"/>
            </w:tcBorders>
            <w:vAlign w:val="center"/>
          </w:tcPr>
          <w:p>
            <w:r>
              <w:rPr>
                <w:rFonts w:hint="eastAsia"/>
              </w:rPr>
              <w:t>0</w:t>
            </w:r>
          </w:p>
        </w:tc>
        <w:tc>
          <w:tcPr>
            <w:tcW w:w="709" w:type="dxa"/>
            <w:tcBorders>
              <w:tl2br w:val="nil"/>
              <w:tr2bl w:val="nil"/>
            </w:tcBorders>
            <w:vAlign w:val="center"/>
          </w:tcPr>
          <w:p>
            <w:r>
              <w:rPr>
                <w:rFonts w:hint="eastAsia"/>
              </w:rPr>
              <w:t>主持</w:t>
            </w:r>
          </w:p>
        </w:tc>
        <w:tc>
          <w:tcPr>
            <w:tcW w:w="708" w:type="dxa"/>
            <w:tcBorders>
              <w:tl2br w:val="nil"/>
              <w:tr2bl w:val="nil"/>
            </w:tcBorders>
            <w:vAlign w:val="center"/>
          </w:tcPr>
          <w:p>
            <w:r>
              <w:t>结项</w:t>
            </w:r>
          </w:p>
        </w:tc>
        <w:tc>
          <w:tcPr>
            <w:tcW w:w="709" w:type="dxa"/>
            <w:tcBorders>
              <w:tl2br w:val="nil"/>
              <w:tr2bl w:val="nil"/>
            </w:tcBorders>
            <w:vAlign w:val="center"/>
          </w:tcPr>
          <w:p>
            <w:r>
              <w:rPr>
                <w:rFonts w:hint="eastAsia"/>
              </w:rPr>
              <w:t>1200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r>
              <w:rPr>
                <w:rFonts w:hint="eastAsia"/>
              </w:rPr>
              <w:t>2</w:t>
            </w:r>
          </w:p>
        </w:tc>
        <w:tc>
          <w:tcPr>
            <w:tcW w:w="736" w:type="dxa"/>
            <w:tcBorders>
              <w:tl2br w:val="nil"/>
              <w:tr2bl w:val="nil"/>
            </w:tcBorders>
            <w:vAlign w:val="center"/>
          </w:tcPr>
          <w:p>
            <w:r>
              <w:rPr>
                <w:rFonts w:hint="eastAsia"/>
              </w:rPr>
              <w:t>C3</w:t>
            </w:r>
          </w:p>
        </w:tc>
        <w:tc>
          <w:tcPr>
            <w:tcW w:w="2196" w:type="dxa"/>
            <w:tcBorders>
              <w:tl2br w:val="nil"/>
              <w:tr2bl w:val="nil"/>
            </w:tcBorders>
            <w:vAlign w:val="center"/>
          </w:tcPr>
          <w:p>
            <w:pPr>
              <w:rPr>
                <w:szCs w:val="21"/>
              </w:rPr>
            </w:pPr>
            <w:r>
              <w:rPr>
                <w:rFonts w:hint="eastAsia" w:ascii="宋体" w:hAnsi="宋体"/>
                <w:bCs/>
                <w:szCs w:val="21"/>
              </w:rPr>
              <w:t>海南省教育科学“十二五”规划2015年度课题《思维导图在中学数学教学与学习中的应用研究》</w:t>
            </w:r>
          </w:p>
        </w:tc>
        <w:tc>
          <w:tcPr>
            <w:tcW w:w="1036" w:type="dxa"/>
            <w:tcBorders>
              <w:tl2br w:val="nil"/>
              <w:tr2bl w:val="nil"/>
            </w:tcBorders>
            <w:vAlign w:val="center"/>
          </w:tcPr>
          <w:p>
            <w:r>
              <w:rPr>
                <w:rFonts w:ascii="宋体" w:hAnsi="宋体"/>
                <w:bCs/>
                <w:sz w:val="24"/>
              </w:rPr>
              <w:t>QJY125</w:t>
            </w:r>
            <w:r>
              <w:rPr>
                <w:rFonts w:hint="eastAsia" w:ascii="宋体" w:hAnsi="宋体"/>
                <w:bCs/>
                <w:sz w:val="24"/>
              </w:rPr>
              <w:t>1524</w:t>
            </w:r>
          </w:p>
        </w:tc>
        <w:tc>
          <w:tcPr>
            <w:tcW w:w="932" w:type="dxa"/>
            <w:tcBorders>
              <w:tl2br w:val="nil"/>
              <w:tr2bl w:val="nil"/>
            </w:tcBorders>
            <w:vAlign w:val="center"/>
          </w:tcPr>
          <w:p>
            <w:r>
              <w:t>海南省教育科学规划领导小组办公室</w:t>
            </w:r>
          </w:p>
        </w:tc>
        <w:tc>
          <w:tcPr>
            <w:tcW w:w="850" w:type="dxa"/>
            <w:tcBorders>
              <w:tl2br w:val="nil"/>
              <w:tr2bl w:val="nil"/>
            </w:tcBorders>
            <w:vAlign w:val="center"/>
          </w:tcPr>
          <w:p>
            <w:r>
              <w:rPr>
                <w:rFonts w:hint="eastAsia"/>
              </w:rPr>
              <w:t>2015.10</w:t>
            </w:r>
          </w:p>
        </w:tc>
        <w:tc>
          <w:tcPr>
            <w:tcW w:w="851" w:type="dxa"/>
            <w:tcBorders>
              <w:tl2br w:val="nil"/>
              <w:tr2bl w:val="nil"/>
            </w:tcBorders>
            <w:vAlign w:val="center"/>
          </w:tcPr>
          <w:p>
            <w:r>
              <w:rPr>
                <w:rFonts w:hint="eastAsia"/>
              </w:rPr>
              <w:t>0</w:t>
            </w:r>
          </w:p>
        </w:tc>
        <w:tc>
          <w:tcPr>
            <w:tcW w:w="709" w:type="dxa"/>
            <w:tcBorders>
              <w:tl2br w:val="nil"/>
              <w:tr2bl w:val="nil"/>
            </w:tcBorders>
            <w:vAlign w:val="center"/>
          </w:tcPr>
          <w:p>
            <w:r>
              <w:t>主持</w:t>
            </w:r>
          </w:p>
        </w:tc>
        <w:tc>
          <w:tcPr>
            <w:tcW w:w="708" w:type="dxa"/>
            <w:tcBorders>
              <w:tl2br w:val="nil"/>
              <w:tr2bl w:val="nil"/>
            </w:tcBorders>
            <w:vAlign w:val="center"/>
          </w:tcPr>
          <w:p>
            <w:r>
              <w:t>结项</w:t>
            </w:r>
          </w:p>
        </w:tc>
        <w:tc>
          <w:tcPr>
            <w:tcW w:w="709" w:type="dxa"/>
            <w:tcBorders>
              <w:tl2br w:val="nil"/>
              <w:tr2bl w:val="nil"/>
            </w:tcBorders>
            <w:vAlign w:val="center"/>
          </w:tcPr>
          <w:p>
            <w:r>
              <w:rPr>
                <w:rFonts w:hint="eastAsia"/>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tl2br w:val="nil"/>
              <w:tr2bl w:val="nil"/>
            </w:tcBorders>
            <w:vAlign w:val="center"/>
          </w:tcPr>
          <w:p>
            <w:pPr>
              <w:jc w:val="center"/>
              <w:rPr>
                <w:b/>
                <w:bCs/>
              </w:rPr>
            </w:pPr>
          </w:p>
        </w:tc>
        <w:tc>
          <w:tcPr>
            <w:tcW w:w="478" w:type="dxa"/>
            <w:tcBorders>
              <w:bottom w:val="single" w:color="000000" w:sz="12" w:space="0"/>
              <w:tl2br w:val="nil"/>
              <w:tr2bl w:val="nil"/>
            </w:tcBorders>
            <w:vAlign w:val="center"/>
          </w:tcPr>
          <w:p>
            <w:r>
              <w:rPr>
                <w:rFonts w:hint="eastAsia"/>
              </w:rPr>
              <w:t>3</w:t>
            </w:r>
          </w:p>
        </w:tc>
        <w:tc>
          <w:tcPr>
            <w:tcW w:w="736" w:type="dxa"/>
            <w:tcBorders>
              <w:bottom w:val="single" w:color="000000" w:sz="12" w:space="0"/>
              <w:tl2br w:val="nil"/>
              <w:tr2bl w:val="nil"/>
            </w:tcBorders>
            <w:vAlign w:val="center"/>
          </w:tcPr>
          <w:p>
            <w:r>
              <w:rPr>
                <w:rFonts w:hint="eastAsia"/>
              </w:rPr>
              <w:t>C3</w:t>
            </w:r>
          </w:p>
        </w:tc>
        <w:tc>
          <w:tcPr>
            <w:tcW w:w="2196" w:type="dxa"/>
            <w:tcBorders>
              <w:bottom w:val="single" w:color="000000" w:sz="12" w:space="0"/>
              <w:tl2br w:val="nil"/>
              <w:tr2bl w:val="nil"/>
            </w:tcBorders>
            <w:vAlign w:val="center"/>
          </w:tcPr>
          <w:p>
            <w:r>
              <w:rPr>
                <w:rFonts w:hint="eastAsia" w:ascii="宋体" w:hAnsi="宋体"/>
                <w:bCs/>
                <w:szCs w:val="21"/>
              </w:rPr>
              <w:t>海南省教育科学“十二五”规划2013年度课题《初高中数学教学衔接的理论与实践研究》</w:t>
            </w:r>
          </w:p>
        </w:tc>
        <w:tc>
          <w:tcPr>
            <w:tcW w:w="1036" w:type="dxa"/>
            <w:tcBorders>
              <w:bottom w:val="single" w:color="000000" w:sz="12" w:space="0"/>
              <w:tl2br w:val="nil"/>
              <w:tr2bl w:val="nil"/>
            </w:tcBorders>
            <w:vAlign w:val="center"/>
          </w:tcPr>
          <w:p>
            <w:r>
              <w:rPr>
                <w:rFonts w:ascii="宋体" w:hAnsi="宋体"/>
                <w:bCs/>
                <w:sz w:val="24"/>
              </w:rPr>
              <w:t>QJY125027</w:t>
            </w:r>
          </w:p>
        </w:tc>
        <w:tc>
          <w:tcPr>
            <w:tcW w:w="932" w:type="dxa"/>
            <w:tcBorders>
              <w:bottom w:val="single" w:color="000000" w:sz="12" w:space="0"/>
              <w:tl2br w:val="nil"/>
              <w:tr2bl w:val="nil"/>
            </w:tcBorders>
            <w:vAlign w:val="center"/>
          </w:tcPr>
          <w:p>
            <w:r>
              <w:t>海南省教育科学规划领导小组办公室</w:t>
            </w:r>
          </w:p>
        </w:tc>
        <w:tc>
          <w:tcPr>
            <w:tcW w:w="850" w:type="dxa"/>
            <w:tcBorders>
              <w:bottom w:val="single" w:color="000000" w:sz="12" w:space="0"/>
              <w:tl2br w:val="nil"/>
              <w:tr2bl w:val="nil"/>
            </w:tcBorders>
            <w:vAlign w:val="center"/>
          </w:tcPr>
          <w:p>
            <w:r>
              <w:rPr>
                <w:rFonts w:hint="eastAsia"/>
              </w:rPr>
              <w:t>2013.10</w:t>
            </w:r>
          </w:p>
        </w:tc>
        <w:tc>
          <w:tcPr>
            <w:tcW w:w="851" w:type="dxa"/>
            <w:tcBorders>
              <w:bottom w:val="single" w:color="000000" w:sz="12" w:space="0"/>
              <w:tl2br w:val="nil"/>
              <w:tr2bl w:val="nil"/>
            </w:tcBorders>
            <w:vAlign w:val="center"/>
          </w:tcPr>
          <w:p>
            <w:r>
              <w:rPr>
                <w:rFonts w:hint="eastAsia"/>
              </w:rPr>
              <w:t>0</w:t>
            </w:r>
          </w:p>
        </w:tc>
        <w:tc>
          <w:tcPr>
            <w:tcW w:w="709" w:type="dxa"/>
            <w:tcBorders>
              <w:bottom w:val="single" w:color="000000" w:sz="12" w:space="0"/>
              <w:tl2br w:val="nil"/>
              <w:tr2bl w:val="nil"/>
            </w:tcBorders>
            <w:vAlign w:val="center"/>
          </w:tcPr>
          <w:p>
            <w:r>
              <w:t>主持</w:t>
            </w:r>
          </w:p>
        </w:tc>
        <w:tc>
          <w:tcPr>
            <w:tcW w:w="708" w:type="dxa"/>
            <w:tcBorders>
              <w:bottom w:val="single" w:color="000000" w:sz="12" w:space="0"/>
              <w:tl2br w:val="nil"/>
              <w:tr2bl w:val="nil"/>
            </w:tcBorders>
            <w:vAlign w:val="center"/>
          </w:tcPr>
          <w:p>
            <w:r>
              <w:t>结项</w:t>
            </w:r>
          </w:p>
        </w:tc>
        <w:tc>
          <w:tcPr>
            <w:tcW w:w="709" w:type="dxa"/>
            <w:tcBorders>
              <w:bottom w:val="single" w:color="000000" w:sz="12" w:space="0"/>
              <w:tl2br w:val="nil"/>
              <w:tr2bl w:val="nil"/>
            </w:tcBorders>
            <w:vAlign w:val="center"/>
          </w:tcPr>
          <w:p>
            <w:r>
              <w:rPr>
                <w:rFonts w:hint="eastAsia"/>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pPr>
              <w:jc w:val="center"/>
              <w:rPr>
                <w:b/>
                <w:bCs/>
              </w:rPr>
            </w:pPr>
          </w:p>
        </w:tc>
        <w:tc>
          <w:tcPr>
            <w:tcW w:w="478" w:type="dxa"/>
            <w:tcBorders>
              <w:bottom w:val="single" w:color="000000" w:sz="12" w:space="0"/>
              <w:tl2br w:val="nil"/>
              <w:tr2bl w:val="nil"/>
            </w:tcBorders>
            <w:vAlign w:val="center"/>
          </w:tcPr>
          <w:p>
            <w:pPr>
              <w:rPr>
                <w:rFonts w:hint="eastAsia"/>
              </w:rPr>
            </w:pPr>
            <w:r>
              <w:rPr>
                <w:rFonts w:hint="eastAsia"/>
              </w:rPr>
              <w:t>4</w:t>
            </w:r>
          </w:p>
        </w:tc>
        <w:tc>
          <w:tcPr>
            <w:tcW w:w="736" w:type="dxa"/>
            <w:tcBorders>
              <w:bottom w:val="single" w:color="000000" w:sz="12" w:space="0"/>
              <w:tl2br w:val="nil"/>
              <w:tr2bl w:val="nil"/>
            </w:tcBorders>
            <w:vAlign w:val="center"/>
          </w:tcPr>
          <w:p>
            <w:pPr>
              <w:rPr>
                <w:rFonts w:hint="eastAsia"/>
              </w:rPr>
            </w:pPr>
            <w:r>
              <w:rPr>
                <w:rFonts w:hint="eastAsia"/>
              </w:rPr>
              <w:t>C3</w:t>
            </w:r>
          </w:p>
        </w:tc>
        <w:tc>
          <w:tcPr>
            <w:tcW w:w="2196" w:type="dxa"/>
            <w:tcBorders>
              <w:bottom w:val="single" w:color="000000" w:sz="12" w:space="0"/>
              <w:tl2br w:val="nil"/>
              <w:tr2bl w:val="nil"/>
            </w:tcBorders>
            <w:vAlign w:val="center"/>
          </w:tcPr>
          <w:p>
            <w:pPr>
              <w:rPr>
                <w:rFonts w:hint="eastAsia" w:ascii="宋体" w:hAnsi="宋体"/>
                <w:bCs/>
                <w:szCs w:val="21"/>
              </w:rPr>
            </w:pPr>
            <w:r>
              <w:rPr>
                <w:rFonts w:hint="eastAsia" w:ascii="宋体" w:hAnsi="宋体"/>
                <w:sz w:val="24"/>
              </w:rPr>
              <w:t>海南省社会科学界联合会2016年项目《提高学生数学</w:t>
            </w:r>
            <w:r>
              <w:rPr>
                <w:rFonts w:hint="eastAsia" w:ascii="宋体" w:hAnsi="宋体"/>
                <w:bCs/>
                <w:sz w:val="24"/>
              </w:rPr>
              <w:t>学习能力的策略研究》</w:t>
            </w:r>
          </w:p>
        </w:tc>
        <w:tc>
          <w:tcPr>
            <w:tcW w:w="1036" w:type="dxa"/>
            <w:tcBorders>
              <w:bottom w:val="single" w:color="000000" w:sz="12" w:space="0"/>
              <w:tl2br w:val="nil"/>
              <w:tr2bl w:val="nil"/>
            </w:tcBorders>
            <w:vAlign w:val="center"/>
          </w:tcPr>
          <w:p>
            <w:pPr>
              <w:rPr>
                <w:rFonts w:ascii="宋体" w:hAnsi="宋体"/>
                <w:bCs/>
                <w:sz w:val="24"/>
              </w:rPr>
            </w:pPr>
            <w:r>
              <w:rPr>
                <w:rFonts w:hint="eastAsia" w:ascii="宋体" w:hAnsi="宋体"/>
                <w:bCs/>
                <w:sz w:val="24"/>
              </w:rPr>
              <w:t>HNSK(ZC)16-41</w:t>
            </w:r>
          </w:p>
        </w:tc>
        <w:tc>
          <w:tcPr>
            <w:tcW w:w="932" w:type="dxa"/>
            <w:tcBorders>
              <w:bottom w:val="single" w:color="000000" w:sz="12" w:space="0"/>
              <w:tl2br w:val="nil"/>
              <w:tr2bl w:val="nil"/>
            </w:tcBorders>
            <w:vAlign w:val="center"/>
          </w:tcPr>
          <w:p>
            <w:r>
              <w:t>海南省社会科学界联合会</w:t>
            </w:r>
          </w:p>
        </w:tc>
        <w:tc>
          <w:tcPr>
            <w:tcW w:w="850" w:type="dxa"/>
            <w:tcBorders>
              <w:bottom w:val="single" w:color="000000" w:sz="12" w:space="0"/>
              <w:tl2br w:val="nil"/>
              <w:tr2bl w:val="nil"/>
            </w:tcBorders>
            <w:vAlign w:val="center"/>
          </w:tcPr>
          <w:p>
            <w:pPr>
              <w:rPr>
                <w:rFonts w:hint="eastAsia"/>
              </w:rPr>
            </w:pPr>
            <w:r>
              <w:rPr>
                <w:rFonts w:hint="eastAsia"/>
              </w:rPr>
              <w:t>2015.3</w:t>
            </w:r>
          </w:p>
        </w:tc>
        <w:tc>
          <w:tcPr>
            <w:tcW w:w="851" w:type="dxa"/>
            <w:tcBorders>
              <w:bottom w:val="single" w:color="000000" w:sz="12" w:space="0"/>
              <w:tl2br w:val="nil"/>
              <w:tr2bl w:val="nil"/>
            </w:tcBorders>
            <w:vAlign w:val="center"/>
          </w:tcPr>
          <w:p>
            <w:pPr>
              <w:rPr>
                <w:rFonts w:hint="eastAsia"/>
              </w:rPr>
            </w:pPr>
            <w:r>
              <w:rPr>
                <w:rFonts w:hint="eastAsia"/>
              </w:rPr>
              <w:t>0</w:t>
            </w:r>
          </w:p>
        </w:tc>
        <w:tc>
          <w:tcPr>
            <w:tcW w:w="709" w:type="dxa"/>
            <w:tcBorders>
              <w:bottom w:val="single" w:color="000000" w:sz="12" w:space="0"/>
              <w:tl2br w:val="nil"/>
              <w:tr2bl w:val="nil"/>
            </w:tcBorders>
            <w:vAlign w:val="center"/>
          </w:tcPr>
          <w:p>
            <w:r>
              <w:t>主持</w:t>
            </w:r>
          </w:p>
        </w:tc>
        <w:tc>
          <w:tcPr>
            <w:tcW w:w="708" w:type="dxa"/>
            <w:tcBorders>
              <w:bottom w:val="single" w:color="000000" w:sz="12" w:space="0"/>
              <w:tl2br w:val="nil"/>
              <w:tr2bl w:val="nil"/>
            </w:tcBorders>
            <w:vAlign w:val="center"/>
          </w:tcPr>
          <w:p>
            <w:r>
              <w:t>结项</w:t>
            </w:r>
          </w:p>
        </w:tc>
        <w:tc>
          <w:tcPr>
            <w:tcW w:w="709" w:type="dxa"/>
            <w:tcBorders>
              <w:bottom w:val="single" w:color="000000" w:sz="12" w:space="0"/>
              <w:tl2br w:val="nil"/>
              <w:tr2bl w:val="nil"/>
            </w:tcBorders>
            <w:vAlign w:val="center"/>
          </w:tcPr>
          <w:p>
            <w:pPr>
              <w:rPr>
                <w:rFonts w:hint="eastAsia"/>
              </w:rPr>
            </w:pPr>
            <w:r>
              <w:rPr>
                <w:rFonts w:hint="eastAsia"/>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b/>
                <w:bCs/>
              </w:rPr>
            </w:pPr>
            <w:r>
              <w:rPr>
                <w:rFonts w:hint="eastAsia"/>
                <w:b/>
                <w:bCs/>
              </w:rPr>
              <w:t>不可计分</w:t>
            </w:r>
          </w:p>
        </w:tc>
        <w:tc>
          <w:tcPr>
            <w:tcW w:w="478" w:type="dxa"/>
            <w:tcBorders>
              <w:top w:val="single" w:color="000000" w:sz="12" w:space="0"/>
            </w:tcBorders>
            <w:vAlign w:val="center"/>
          </w:tcPr>
          <w:p/>
        </w:tc>
        <w:tc>
          <w:tcPr>
            <w:tcW w:w="736" w:type="dxa"/>
            <w:tcBorders>
              <w:top w:val="single" w:color="000000" w:sz="12" w:space="0"/>
            </w:tcBorders>
            <w:vAlign w:val="center"/>
          </w:tcPr>
          <w:p/>
        </w:tc>
        <w:tc>
          <w:tcPr>
            <w:tcW w:w="2196" w:type="dxa"/>
            <w:tcBorders>
              <w:top w:val="single" w:color="000000" w:sz="12" w:space="0"/>
            </w:tcBorders>
            <w:vAlign w:val="center"/>
          </w:tcPr>
          <w:p/>
        </w:tc>
        <w:tc>
          <w:tcPr>
            <w:tcW w:w="1036" w:type="dxa"/>
            <w:tcBorders>
              <w:top w:val="single" w:color="000000" w:sz="12" w:space="0"/>
            </w:tcBorders>
            <w:vAlign w:val="center"/>
          </w:tcPr>
          <w:p/>
        </w:tc>
        <w:tc>
          <w:tcPr>
            <w:tcW w:w="932" w:type="dxa"/>
            <w:tcBorders>
              <w:top w:val="single" w:color="000000" w:sz="12" w:space="0"/>
            </w:tcBorders>
            <w:vAlign w:val="center"/>
          </w:tcPr>
          <w:p/>
        </w:tc>
        <w:tc>
          <w:tcPr>
            <w:tcW w:w="850" w:type="dxa"/>
            <w:tcBorders>
              <w:top w:val="single" w:color="000000" w:sz="12" w:space="0"/>
            </w:tcBorders>
            <w:vAlign w:val="center"/>
          </w:tcPr>
          <w:p/>
        </w:tc>
        <w:tc>
          <w:tcPr>
            <w:tcW w:w="851" w:type="dxa"/>
            <w:tcBorders>
              <w:top w:val="single" w:color="000000" w:sz="12" w:space="0"/>
            </w:tcBorders>
            <w:vAlign w:val="center"/>
          </w:tcPr>
          <w:p/>
        </w:tc>
        <w:tc>
          <w:tcPr>
            <w:tcW w:w="709" w:type="dxa"/>
            <w:tcBorders>
              <w:top w:val="single" w:color="000000" w:sz="12" w:space="0"/>
            </w:tcBorders>
            <w:vAlign w:val="center"/>
          </w:tcPr>
          <w:p/>
        </w:tc>
        <w:tc>
          <w:tcPr>
            <w:tcW w:w="708" w:type="dxa"/>
            <w:tcBorders>
              <w:top w:val="single" w:color="000000" w:sz="12" w:space="0"/>
            </w:tcBorders>
            <w:vAlign w:val="center"/>
          </w:tcPr>
          <w:p/>
        </w:tc>
        <w:tc>
          <w:tcPr>
            <w:tcW w:w="709" w:type="dxa"/>
            <w:tcBorders>
              <w:top w:val="single" w:color="000000" w:sz="12" w:space="0"/>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bl>
    <w:p>
      <w:pPr>
        <w:ind w:firstLine="420" w:firstLineChars="200"/>
      </w:pPr>
      <w:r>
        <w:rPr>
          <w:rFonts w:hint="eastAsia"/>
        </w:rPr>
        <w:t>注：人文社科类参考评审文件附件1-4填写，自然科学类参考附件1-5填写，项目等级：</w:t>
      </w:r>
      <w:r>
        <w:rPr>
          <w:rFonts w:hint="eastAsia"/>
          <w:b/>
          <w:bCs/>
        </w:rPr>
        <w:t>可计分类</w:t>
      </w:r>
      <w:r>
        <w:rPr>
          <w:rFonts w:hint="eastAsia"/>
        </w:rPr>
        <w:t>按A1到</w:t>
      </w:r>
      <w:r>
        <w:t>E3</w:t>
      </w:r>
      <w:r>
        <w:rPr>
          <w:rFonts w:hint="eastAsia"/>
        </w:rPr>
        <w:t>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844"/>
        <w:gridCol w:w="1410"/>
        <w:gridCol w:w="2250"/>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rPr>
            </w:pPr>
            <w:r>
              <w:rPr>
                <w:rFonts w:hint="eastAsia"/>
                <w:b/>
                <w:bCs/>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pPr>
              <w:jc w:val="center"/>
              <w:rPr>
                <w:rFonts w:eastAsia="宋体"/>
                <w:b/>
                <w:bCs/>
              </w:rPr>
            </w:pPr>
            <w:r>
              <w:rPr>
                <w:rFonts w:hint="eastAsia" w:eastAsia="宋体"/>
                <w:b/>
                <w:bCs/>
              </w:rPr>
              <w:t>类别</w:t>
            </w:r>
          </w:p>
        </w:tc>
        <w:tc>
          <w:tcPr>
            <w:tcW w:w="840" w:type="dxa"/>
            <w:tcBorders>
              <w:tl2br w:val="nil"/>
              <w:tr2bl w:val="nil"/>
            </w:tcBorders>
            <w:vAlign w:val="center"/>
          </w:tcPr>
          <w:p>
            <w:pPr>
              <w:jc w:val="center"/>
              <w:rPr>
                <w:rFonts w:eastAsia="宋体"/>
                <w:b/>
                <w:bCs/>
              </w:rPr>
            </w:pPr>
            <w:r>
              <w:rPr>
                <w:rFonts w:hint="eastAsia"/>
                <w:b/>
                <w:bCs/>
              </w:rPr>
              <w:t>序号</w:t>
            </w:r>
          </w:p>
        </w:tc>
        <w:tc>
          <w:tcPr>
            <w:tcW w:w="844"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刊物级别</w:t>
            </w:r>
          </w:p>
        </w:tc>
        <w:tc>
          <w:tcPr>
            <w:tcW w:w="141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2250" w:type="dxa"/>
            <w:tcBorders>
              <w:tl2br w:val="nil"/>
              <w:tr2bl w:val="nil"/>
            </w:tcBorders>
            <w:vAlign w:val="center"/>
          </w:tcPr>
          <w:p>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pPr>
              <w:widowControl/>
              <w:jc w:val="center"/>
              <w:rPr>
                <w:rFonts w:eastAsia="宋体"/>
                <w:b/>
                <w:bCs/>
              </w:rPr>
            </w:pPr>
            <w:r>
              <w:rPr>
                <w:rFonts w:hint="eastAsia" w:eastAsia="宋体"/>
                <w:b/>
                <w:bCs/>
              </w:rPr>
              <w:t>个人占比</w:t>
            </w:r>
          </w:p>
        </w:tc>
        <w:tc>
          <w:tcPr>
            <w:tcW w:w="923" w:type="dxa"/>
            <w:tcBorders>
              <w:tl2br w:val="nil"/>
              <w:tr2bl w:val="nil"/>
            </w:tcBorders>
            <w:vAlign w:val="center"/>
          </w:tcPr>
          <w:p>
            <w:pPr>
              <w:widowControl/>
              <w:jc w:val="center"/>
              <w:rPr>
                <w:b/>
                <w:bCs/>
              </w:rPr>
            </w:pPr>
            <w:r>
              <w:rPr>
                <w:rFonts w:hint="eastAsia"/>
                <w:b/>
                <w:bCs/>
              </w:rPr>
              <w:t>转载</w:t>
            </w:r>
          </w:p>
          <w:p>
            <w:pPr>
              <w:widowControl/>
              <w:jc w:val="center"/>
              <w:rPr>
                <w:rFonts w:eastAsia="宋体"/>
                <w:b/>
                <w:bCs/>
              </w:rPr>
            </w:pPr>
            <w:r>
              <w:rPr>
                <w:rFonts w:hint="eastAsia"/>
                <w:b/>
                <w:bCs/>
              </w:rPr>
              <w:t>情况</w:t>
            </w:r>
          </w:p>
        </w:tc>
        <w:tc>
          <w:tcPr>
            <w:tcW w:w="1210"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检索证明</w:t>
            </w:r>
          </w:p>
          <w:p>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pPr>
              <w:jc w:val="center"/>
            </w:pPr>
            <w:r>
              <w:rPr>
                <w:rFonts w:hint="eastAsia"/>
                <w:b/>
                <w:bCs/>
              </w:rPr>
              <w:t>可计分</w:t>
            </w:r>
          </w:p>
        </w:tc>
        <w:tc>
          <w:tcPr>
            <w:tcW w:w="840" w:type="dxa"/>
            <w:tcBorders>
              <w:tl2br w:val="nil"/>
              <w:tr2bl w:val="nil"/>
            </w:tcBorders>
          </w:tcPr>
          <w:p>
            <w:pPr>
              <w:jc w:val="center"/>
            </w:pPr>
            <w:r>
              <w:rPr>
                <w:rFonts w:hint="eastAsia"/>
              </w:rPr>
              <w:t>1</w:t>
            </w:r>
          </w:p>
        </w:tc>
        <w:tc>
          <w:tcPr>
            <w:tcW w:w="844" w:type="dxa"/>
            <w:tcBorders>
              <w:tl2br w:val="nil"/>
              <w:tr2bl w:val="nil"/>
            </w:tcBorders>
          </w:tcPr>
          <w:p>
            <w:pPr>
              <w:widowControl/>
              <w:jc w:val="center"/>
            </w:pPr>
            <w:r>
              <w:rPr>
                <w:rFonts w:hint="eastAsia"/>
              </w:rPr>
              <w:t>F</w:t>
            </w:r>
          </w:p>
        </w:tc>
        <w:tc>
          <w:tcPr>
            <w:tcW w:w="1410" w:type="dxa"/>
            <w:tcBorders>
              <w:tl2br w:val="nil"/>
              <w:tr2bl w:val="nil"/>
            </w:tcBorders>
          </w:tcPr>
          <w:p>
            <w:pPr>
              <w:widowControl/>
              <w:jc w:val="center"/>
              <w:rPr>
                <w:szCs w:val="21"/>
              </w:rPr>
            </w:pPr>
            <w:r>
              <w:rPr>
                <w:rFonts w:hint="eastAsia" w:ascii="宋体" w:hAnsi="宋体"/>
                <w:bCs/>
                <w:szCs w:val="21"/>
                <w:lang w:val="zh-CN"/>
              </w:rPr>
              <w:t>初高中学生数学学习衔接存在的问题与对策</w:t>
            </w:r>
          </w:p>
        </w:tc>
        <w:tc>
          <w:tcPr>
            <w:tcW w:w="2250" w:type="dxa"/>
            <w:tcBorders>
              <w:tl2br w:val="nil"/>
              <w:tr2bl w:val="nil"/>
            </w:tcBorders>
          </w:tcPr>
          <w:p>
            <w:pPr>
              <w:widowControl/>
              <w:jc w:val="center"/>
              <w:rPr>
                <w:szCs w:val="21"/>
              </w:rPr>
            </w:pPr>
            <w:r>
              <w:rPr>
                <w:rFonts w:hint="eastAsia" w:ascii="宋体" w:hAnsi="宋体"/>
                <w:bCs/>
                <w:szCs w:val="21"/>
                <w:lang w:val="zh-CN"/>
              </w:rPr>
              <w:t>《数学通报》（北大核心）2013年3月第3期</w:t>
            </w:r>
          </w:p>
        </w:tc>
        <w:tc>
          <w:tcPr>
            <w:tcW w:w="796" w:type="dxa"/>
            <w:tcBorders>
              <w:tl2br w:val="nil"/>
              <w:tr2bl w:val="nil"/>
            </w:tcBorders>
          </w:tcPr>
          <w:p>
            <w:pPr>
              <w:widowControl/>
              <w:jc w:val="center"/>
            </w:pPr>
            <w:r>
              <w:rPr>
                <w:rFonts w:hint="eastAsia"/>
              </w:rPr>
              <w:t>100%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rPr>
              <w:t>有</w:t>
            </w:r>
          </w:p>
        </w:tc>
        <w:tc>
          <w:tcPr>
            <w:tcW w:w="831" w:type="dxa"/>
            <w:tcBorders>
              <w:tl2br w:val="nil"/>
              <w:tr2bl w:val="nil"/>
            </w:tcBorders>
          </w:tcPr>
          <w:p>
            <w:pPr>
              <w:widowControl/>
              <w:jc w:val="center"/>
            </w:pPr>
            <w:r>
              <w:rPr>
                <w:rFonts w:hint="eastAsia"/>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pPr>
            <w:r>
              <w:rPr>
                <w:rFonts w:hint="eastAsia"/>
              </w:rPr>
              <w:t>2</w:t>
            </w:r>
          </w:p>
        </w:tc>
        <w:tc>
          <w:tcPr>
            <w:tcW w:w="844" w:type="dxa"/>
            <w:tcBorders>
              <w:tl2br w:val="nil"/>
              <w:tr2bl w:val="nil"/>
            </w:tcBorders>
          </w:tcPr>
          <w:p>
            <w:pPr>
              <w:widowControl/>
              <w:jc w:val="center"/>
            </w:pPr>
            <w:r>
              <w:rPr>
                <w:rFonts w:hint="eastAsia"/>
              </w:rPr>
              <w:t>F</w:t>
            </w:r>
          </w:p>
        </w:tc>
        <w:tc>
          <w:tcPr>
            <w:tcW w:w="1410" w:type="dxa"/>
            <w:tcBorders>
              <w:tl2br w:val="nil"/>
              <w:tr2bl w:val="nil"/>
            </w:tcBorders>
          </w:tcPr>
          <w:p>
            <w:pPr>
              <w:widowControl/>
              <w:jc w:val="center"/>
              <w:rPr>
                <w:szCs w:val="21"/>
              </w:rPr>
            </w:pPr>
            <w:r>
              <w:rPr>
                <w:rFonts w:hint="eastAsia" w:ascii="宋体" w:hAnsi="宋体"/>
                <w:bCs/>
                <w:szCs w:val="21"/>
                <w:lang w:val="zh-CN"/>
              </w:rPr>
              <w:t>初高中统计与概率的教学衔接研究</w:t>
            </w:r>
          </w:p>
        </w:tc>
        <w:tc>
          <w:tcPr>
            <w:tcW w:w="2250" w:type="dxa"/>
            <w:tcBorders>
              <w:tl2br w:val="nil"/>
              <w:tr2bl w:val="nil"/>
            </w:tcBorders>
          </w:tcPr>
          <w:p>
            <w:pPr>
              <w:widowControl/>
              <w:jc w:val="center"/>
              <w:rPr>
                <w:szCs w:val="21"/>
              </w:rPr>
            </w:pPr>
            <w:r>
              <w:rPr>
                <w:rFonts w:hint="eastAsia" w:ascii="宋体" w:hAnsi="宋体"/>
                <w:bCs/>
                <w:szCs w:val="21"/>
                <w:lang w:val="zh-CN"/>
              </w:rPr>
              <w:t>《数学通报》（北大核心）2015年6月第6期</w:t>
            </w:r>
          </w:p>
        </w:tc>
        <w:tc>
          <w:tcPr>
            <w:tcW w:w="796" w:type="dxa"/>
            <w:tcBorders>
              <w:tl2br w:val="nil"/>
              <w:tr2bl w:val="nil"/>
            </w:tcBorders>
          </w:tcPr>
          <w:p>
            <w:pPr>
              <w:widowControl/>
              <w:jc w:val="center"/>
            </w:pPr>
            <w:r>
              <w:rPr>
                <w:rFonts w:hint="eastAsia"/>
              </w:rPr>
              <w:t>100%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t>有</w:t>
            </w: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jc w:val="center"/>
            </w:pPr>
          </w:p>
        </w:tc>
        <w:tc>
          <w:tcPr>
            <w:tcW w:w="844" w:type="dxa"/>
            <w:tcBorders>
              <w:bottom w:val="single" w:color="000000" w:sz="12" w:space="0"/>
              <w:tl2br w:val="nil"/>
              <w:tr2bl w:val="nil"/>
            </w:tcBorders>
          </w:tcPr>
          <w:p>
            <w:pPr>
              <w:widowControl/>
              <w:jc w:val="center"/>
            </w:pPr>
          </w:p>
        </w:tc>
        <w:tc>
          <w:tcPr>
            <w:tcW w:w="1410" w:type="dxa"/>
            <w:tcBorders>
              <w:bottom w:val="single" w:color="000000" w:sz="12" w:space="0"/>
              <w:tl2br w:val="nil"/>
              <w:tr2bl w:val="nil"/>
            </w:tcBorders>
          </w:tcPr>
          <w:p>
            <w:pPr>
              <w:widowControl/>
              <w:jc w:val="center"/>
            </w:pPr>
          </w:p>
        </w:tc>
        <w:tc>
          <w:tcPr>
            <w:tcW w:w="2250" w:type="dxa"/>
            <w:tcBorders>
              <w:bottom w:val="single" w:color="000000" w:sz="12" w:space="0"/>
              <w:tl2br w:val="nil"/>
              <w:tr2bl w:val="nil"/>
            </w:tcBorders>
          </w:tcPr>
          <w:p>
            <w:pPr>
              <w:widowControl/>
              <w:jc w:val="center"/>
            </w:pPr>
          </w:p>
        </w:tc>
        <w:tc>
          <w:tcPr>
            <w:tcW w:w="796" w:type="dxa"/>
            <w:tcBorders>
              <w:bottom w:val="single" w:color="000000" w:sz="12" w:space="0"/>
              <w:tl2br w:val="nil"/>
              <w:tr2bl w:val="nil"/>
            </w:tcBorders>
          </w:tcPr>
          <w:p>
            <w:pPr>
              <w:widowControl/>
              <w:jc w:val="center"/>
            </w:pP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pPr>
              <w:jc w:val="center"/>
            </w:pPr>
            <w:r>
              <w:rPr>
                <w:rFonts w:hint="eastAsia"/>
                <w:b/>
                <w:bCs/>
              </w:rPr>
              <w:t>不可计分</w:t>
            </w:r>
          </w:p>
        </w:tc>
        <w:tc>
          <w:tcPr>
            <w:tcW w:w="840" w:type="dxa"/>
            <w:tcBorders>
              <w:top w:val="single" w:color="000000" w:sz="12" w:space="0"/>
            </w:tcBorders>
          </w:tcPr>
          <w:p>
            <w:pPr>
              <w:jc w:val="center"/>
            </w:pPr>
          </w:p>
        </w:tc>
        <w:tc>
          <w:tcPr>
            <w:tcW w:w="844" w:type="dxa"/>
            <w:tcBorders>
              <w:top w:val="single" w:color="000000" w:sz="12" w:space="0"/>
            </w:tcBorders>
          </w:tcPr>
          <w:p>
            <w:pPr>
              <w:widowControl/>
              <w:jc w:val="center"/>
            </w:pPr>
          </w:p>
        </w:tc>
        <w:tc>
          <w:tcPr>
            <w:tcW w:w="1410" w:type="dxa"/>
            <w:tcBorders>
              <w:top w:val="single" w:color="000000" w:sz="12" w:space="0"/>
            </w:tcBorders>
          </w:tcPr>
          <w:p>
            <w:pPr>
              <w:widowControl/>
              <w:jc w:val="center"/>
            </w:pPr>
          </w:p>
        </w:tc>
        <w:tc>
          <w:tcPr>
            <w:tcW w:w="2250" w:type="dxa"/>
            <w:tcBorders>
              <w:top w:val="single" w:color="000000" w:sz="12" w:space="0"/>
            </w:tcBorders>
          </w:tcPr>
          <w:p>
            <w:pPr>
              <w:widowControl/>
              <w:jc w:val="center"/>
            </w:pPr>
          </w:p>
        </w:tc>
        <w:tc>
          <w:tcPr>
            <w:tcW w:w="796" w:type="dxa"/>
            <w:tcBorders>
              <w:top w:val="single" w:color="000000" w:sz="12" w:space="0"/>
            </w:tcBorders>
          </w:tcPr>
          <w:p>
            <w:pPr>
              <w:widowControl/>
              <w:jc w:val="center"/>
            </w:pPr>
          </w:p>
        </w:tc>
        <w:tc>
          <w:tcPr>
            <w:tcW w:w="923" w:type="dxa"/>
            <w:tcBorders>
              <w:top w:val="single" w:color="000000" w:sz="12" w:space="0"/>
            </w:tcBorders>
          </w:tcPr>
          <w:p>
            <w:pPr>
              <w:widowControl/>
              <w:jc w:val="center"/>
            </w:pPr>
          </w:p>
        </w:tc>
        <w:tc>
          <w:tcPr>
            <w:tcW w:w="1210" w:type="dxa"/>
            <w:tcBorders>
              <w:top w:val="single" w:color="000000" w:sz="12" w:space="0"/>
            </w:tcBorders>
          </w:tcPr>
          <w:p>
            <w:pPr>
              <w:widowControl/>
              <w:jc w:val="center"/>
            </w:pPr>
          </w:p>
        </w:tc>
        <w:tc>
          <w:tcPr>
            <w:tcW w:w="831" w:type="dxa"/>
            <w:tcBorders>
              <w:top w:val="single" w:color="000000" w:sz="12" w:space="0"/>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pPr>
          </w:p>
        </w:tc>
        <w:tc>
          <w:tcPr>
            <w:tcW w:w="840" w:type="dxa"/>
            <w:tcBorders>
              <w:tl2br w:val="nil"/>
              <w:tr2bl w:val="nil"/>
            </w:tcBorders>
          </w:tcPr>
          <w:p>
            <w:pPr>
              <w:jc w:val="center"/>
            </w:pPr>
          </w:p>
        </w:tc>
        <w:tc>
          <w:tcPr>
            <w:tcW w:w="844" w:type="dxa"/>
            <w:tcBorders>
              <w:tl2br w:val="nil"/>
              <w:tr2bl w:val="nil"/>
            </w:tcBorders>
          </w:tcPr>
          <w:p>
            <w:pPr>
              <w:widowControl/>
              <w:jc w:val="center"/>
            </w:pPr>
          </w:p>
        </w:tc>
        <w:tc>
          <w:tcPr>
            <w:tcW w:w="1410" w:type="dxa"/>
            <w:tcBorders>
              <w:tl2br w:val="nil"/>
              <w:tr2bl w:val="nil"/>
            </w:tcBorders>
          </w:tcPr>
          <w:p>
            <w:pPr>
              <w:widowControl/>
              <w:jc w:val="center"/>
            </w:pPr>
          </w:p>
        </w:tc>
        <w:tc>
          <w:tcPr>
            <w:tcW w:w="2250" w:type="dxa"/>
            <w:tcBorders>
              <w:tl2br w:val="nil"/>
              <w:tr2bl w:val="nil"/>
            </w:tcBorders>
          </w:tcPr>
          <w:p>
            <w:pPr>
              <w:widowControl/>
              <w:jc w:val="center"/>
            </w:pPr>
          </w:p>
        </w:tc>
        <w:tc>
          <w:tcPr>
            <w:tcW w:w="796" w:type="dxa"/>
            <w:tcBorders>
              <w:tl2br w:val="nil"/>
              <w:tr2bl w:val="nil"/>
            </w:tcBorders>
          </w:tcPr>
          <w:p>
            <w:pPr>
              <w:widowControl/>
              <w:jc w:val="center"/>
            </w:pPr>
          </w:p>
        </w:tc>
        <w:tc>
          <w:tcPr>
            <w:tcW w:w="923" w:type="dxa"/>
            <w:tcBorders>
              <w:tl2br w:val="nil"/>
              <w:tr2bl w:val="nil"/>
            </w:tcBorders>
          </w:tcPr>
          <w:p>
            <w:pPr>
              <w:widowControl/>
              <w:jc w:val="center"/>
            </w:pPr>
          </w:p>
        </w:tc>
        <w:tc>
          <w:tcPr>
            <w:tcW w:w="1210" w:type="dxa"/>
            <w:tcBorders>
              <w:tl2br w:val="nil"/>
              <w:tr2bl w:val="nil"/>
            </w:tcBorders>
          </w:tcPr>
          <w:p>
            <w:pPr>
              <w:widowControl/>
              <w:jc w:val="center"/>
            </w:pPr>
          </w:p>
        </w:tc>
        <w:tc>
          <w:tcPr>
            <w:tcW w:w="831" w:type="dxa"/>
            <w:tcBorders>
              <w:tl2br w:val="nil"/>
              <w:tr2bl w:val="nil"/>
            </w:tcBorders>
          </w:tcPr>
          <w:p>
            <w:pPr>
              <w:widowControl/>
              <w:snapToGrid w:val="0"/>
              <w:jc w:val="center"/>
            </w:pPr>
          </w:p>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pPr>
              <w:jc w:val="center"/>
            </w:pPr>
          </w:p>
        </w:tc>
        <w:tc>
          <w:tcPr>
            <w:tcW w:w="840" w:type="dxa"/>
            <w:tcBorders>
              <w:tl2br w:val="nil"/>
              <w:tr2bl w:val="nil"/>
            </w:tcBorders>
          </w:tcPr>
          <w:p>
            <w:pPr>
              <w:jc w:val="center"/>
            </w:pPr>
          </w:p>
        </w:tc>
        <w:tc>
          <w:tcPr>
            <w:tcW w:w="844" w:type="dxa"/>
            <w:tcBorders>
              <w:tl2br w:val="nil"/>
              <w:tr2bl w:val="nil"/>
            </w:tcBorders>
          </w:tcPr>
          <w:p>
            <w:pPr>
              <w:widowControl/>
              <w:jc w:val="center"/>
            </w:pPr>
          </w:p>
        </w:tc>
        <w:tc>
          <w:tcPr>
            <w:tcW w:w="1410" w:type="dxa"/>
            <w:tcBorders>
              <w:tl2br w:val="nil"/>
              <w:tr2bl w:val="nil"/>
            </w:tcBorders>
          </w:tcPr>
          <w:p>
            <w:pPr>
              <w:widowControl/>
              <w:jc w:val="center"/>
            </w:pPr>
          </w:p>
        </w:tc>
        <w:tc>
          <w:tcPr>
            <w:tcW w:w="2250" w:type="dxa"/>
            <w:tcBorders>
              <w:tl2br w:val="nil"/>
              <w:tr2bl w:val="nil"/>
            </w:tcBorders>
          </w:tcPr>
          <w:p>
            <w:pPr>
              <w:widowControl/>
              <w:jc w:val="center"/>
            </w:pPr>
          </w:p>
        </w:tc>
        <w:tc>
          <w:tcPr>
            <w:tcW w:w="796" w:type="dxa"/>
            <w:tcBorders>
              <w:tl2br w:val="nil"/>
              <w:tr2bl w:val="nil"/>
            </w:tcBorders>
          </w:tcPr>
          <w:p>
            <w:pPr>
              <w:widowControl/>
              <w:jc w:val="center"/>
            </w:pPr>
          </w:p>
        </w:tc>
        <w:tc>
          <w:tcPr>
            <w:tcW w:w="923" w:type="dxa"/>
            <w:tcBorders>
              <w:tl2br w:val="nil"/>
              <w:tr2bl w:val="nil"/>
            </w:tcBorders>
          </w:tcPr>
          <w:p>
            <w:pPr>
              <w:widowControl/>
              <w:jc w:val="center"/>
            </w:pPr>
          </w:p>
        </w:tc>
        <w:tc>
          <w:tcPr>
            <w:tcW w:w="1210" w:type="dxa"/>
            <w:tcBorders>
              <w:tl2br w:val="nil"/>
              <w:tr2bl w:val="nil"/>
            </w:tcBorders>
          </w:tcPr>
          <w:p>
            <w:pPr>
              <w:widowControl/>
              <w:jc w:val="center"/>
            </w:pPr>
          </w:p>
        </w:tc>
        <w:tc>
          <w:tcPr>
            <w:tcW w:w="831" w:type="dxa"/>
            <w:tcBorders>
              <w:tl2br w:val="nil"/>
              <w:tr2bl w:val="nil"/>
            </w:tcBorders>
          </w:tcPr>
          <w:p>
            <w:pPr>
              <w:widowControl/>
              <w:snapToGrid w:val="0"/>
              <w:jc w:val="center"/>
            </w:pPr>
          </w:p>
          <w:p>
            <w:pPr>
              <w:widowControl/>
              <w:jc w:val="center"/>
            </w:pPr>
          </w:p>
        </w:tc>
      </w:tr>
    </w:tbl>
    <w:p>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rPr>
            </w:pPr>
            <w:r>
              <w:rPr>
                <w:rFonts w:hint="eastAsia"/>
                <w:b/>
                <w:bCs/>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rPr>
            </w:pPr>
            <w:r>
              <w:rPr>
                <w:rFonts w:hint="eastAsia" w:eastAsia="宋体"/>
                <w:b/>
                <w:bCs/>
              </w:rPr>
              <w:t>类别</w:t>
            </w:r>
          </w:p>
        </w:tc>
        <w:tc>
          <w:tcPr>
            <w:tcW w:w="467" w:type="dxa"/>
            <w:tcBorders>
              <w:tl2br w:val="nil"/>
              <w:tr2bl w:val="nil"/>
            </w:tcBorders>
            <w:vAlign w:val="center"/>
          </w:tcPr>
          <w:p>
            <w:pPr>
              <w:widowControl/>
              <w:rPr>
                <w:rFonts w:eastAsia="宋体"/>
                <w:b/>
                <w:bCs/>
              </w:rPr>
            </w:pPr>
            <w:r>
              <w:rPr>
                <w:rFonts w:hint="eastAsia"/>
                <w:b/>
                <w:bCs/>
              </w:rPr>
              <w:t>序号</w:t>
            </w:r>
          </w:p>
        </w:tc>
        <w:tc>
          <w:tcPr>
            <w:tcW w:w="885" w:type="dxa"/>
            <w:tcBorders>
              <w:tl2br w:val="nil"/>
              <w:tr2bl w:val="nil"/>
            </w:tcBorders>
            <w:vAlign w:val="center"/>
          </w:tcPr>
          <w:p>
            <w:pPr>
              <w:widowControl/>
              <w:jc w:val="center"/>
              <w:rPr>
                <w:b/>
                <w:bCs/>
              </w:rPr>
            </w:pPr>
            <w:r>
              <w:rPr>
                <w:rFonts w:hint="eastAsia"/>
                <w:b/>
                <w:bCs/>
              </w:rPr>
              <w:t>著作</w:t>
            </w:r>
          </w:p>
          <w:p>
            <w:pPr>
              <w:widowControl/>
              <w:jc w:val="center"/>
              <w:rPr>
                <w:b/>
                <w:bCs/>
              </w:rPr>
            </w:pPr>
            <w:r>
              <w:rPr>
                <w:rFonts w:hint="eastAsia"/>
                <w:b/>
                <w:bCs/>
              </w:rPr>
              <w:t>等级</w:t>
            </w:r>
          </w:p>
        </w:tc>
        <w:tc>
          <w:tcPr>
            <w:tcW w:w="1695" w:type="dxa"/>
            <w:tcBorders>
              <w:tl2br w:val="nil"/>
              <w:tr2bl w:val="nil"/>
            </w:tcBorders>
            <w:vAlign w:val="center"/>
          </w:tcPr>
          <w:p>
            <w:pPr>
              <w:widowControl/>
              <w:jc w:val="center"/>
              <w:rPr>
                <w:rFonts w:eastAsia="宋体"/>
                <w:b/>
                <w:bCs/>
              </w:rPr>
            </w:pPr>
            <w:r>
              <w:rPr>
                <w:rFonts w:hint="eastAsia"/>
                <w:b/>
                <w:bCs/>
              </w:rPr>
              <w:t>成果名称</w:t>
            </w:r>
          </w:p>
        </w:tc>
        <w:tc>
          <w:tcPr>
            <w:tcW w:w="1020" w:type="dxa"/>
            <w:tcBorders>
              <w:tl2br w:val="nil"/>
              <w:tr2bl w:val="nil"/>
            </w:tcBorders>
            <w:vAlign w:val="center"/>
          </w:tcPr>
          <w:p>
            <w:pPr>
              <w:widowControl/>
              <w:rPr>
                <w:b/>
                <w:bCs/>
              </w:rPr>
            </w:pPr>
            <w:r>
              <w:rPr>
                <w:rFonts w:hint="eastAsia"/>
                <w:b/>
                <w:bCs/>
              </w:rPr>
              <w:t>合（独）著译及排名</w:t>
            </w:r>
          </w:p>
        </w:tc>
        <w:tc>
          <w:tcPr>
            <w:tcW w:w="1110" w:type="dxa"/>
            <w:tcBorders>
              <w:tl2br w:val="nil"/>
              <w:tr2bl w:val="nil"/>
            </w:tcBorders>
            <w:vAlign w:val="center"/>
          </w:tcPr>
          <w:p>
            <w:pPr>
              <w:widowControl/>
              <w:rPr>
                <w:rFonts w:eastAsia="宋体"/>
                <w:b/>
                <w:bCs/>
              </w:rPr>
            </w:pPr>
            <w:r>
              <w:rPr>
                <w:rFonts w:hint="eastAsia"/>
                <w:b/>
                <w:bCs/>
              </w:rPr>
              <w:t>出版社和出版年月</w:t>
            </w:r>
          </w:p>
        </w:tc>
        <w:tc>
          <w:tcPr>
            <w:tcW w:w="730" w:type="dxa"/>
            <w:tcBorders>
              <w:tl2br w:val="nil"/>
              <w:tr2bl w:val="nil"/>
            </w:tcBorders>
            <w:vAlign w:val="center"/>
          </w:tcPr>
          <w:p>
            <w:pPr>
              <w:widowControl/>
              <w:rPr>
                <w:rFonts w:eastAsia="宋体"/>
                <w:b/>
                <w:bCs/>
              </w:rPr>
            </w:pPr>
            <w:r>
              <w:rPr>
                <w:rFonts w:hint="eastAsia"/>
                <w:b/>
                <w:bCs/>
              </w:rPr>
              <w:t>CIP核字号</w:t>
            </w:r>
          </w:p>
        </w:tc>
        <w:tc>
          <w:tcPr>
            <w:tcW w:w="1100" w:type="dxa"/>
            <w:tcBorders>
              <w:tl2br w:val="nil"/>
              <w:tr2bl w:val="nil"/>
            </w:tcBorders>
            <w:vAlign w:val="center"/>
          </w:tcPr>
          <w:p>
            <w:pPr>
              <w:widowControl/>
              <w:jc w:val="center"/>
              <w:rPr>
                <w:b/>
                <w:bCs/>
              </w:rPr>
            </w:pPr>
            <w:r>
              <w:rPr>
                <w:rFonts w:hint="eastAsia"/>
                <w:b/>
                <w:bCs/>
              </w:rPr>
              <w:t>总字数</w:t>
            </w:r>
          </w:p>
          <w:p>
            <w:pPr>
              <w:widowControl/>
              <w:jc w:val="center"/>
              <w:rPr>
                <w:b/>
                <w:bCs/>
              </w:rPr>
            </w:pPr>
            <w:r>
              <w:rPr>
                <w:rFonts w:hint="eastAsia"/>
                <w:b/>
                <w:bCs/>
                <w:sz w:val="18"/>
                <w:szCs w:val="18"/>
              </w:rPr>
              <w:t>（万字）</w:t>
            </w:r>
          </w:p>
        </w:tc>
        <w:tc>
          <w:tcPr>
            <w:tcW w:w="860" w:type="dxa"/>
            <w:tcBorders>
              <w:tl2br w:val="nil"/>
              <w:tr2bl w:val="nil"/>
            </w:tcBorders>
            <w:vAlign w:val="center"/>
          </w:tcPr>
          <w:p>
            <w:pPr>
              <w:widowControl/>
              <w:rPr>
                <w:b/>
                <w:bCs/>
              </w:rPr>
            </w:pPr>
            <w:r>
              <w:rPr>
                <w:rFonts w:hint="eastAsia"/>
                <w:b/>
                <w:bCs/>
              </w:rPr>
              <w:t>个人撰</w:t>
            </w:r>
          </w:p>
          <w:p>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pPr>
              <w:widowControl/>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pPr>
            <w:r>
              <w:rPr>
                <w:rFonts w:hint="eastAsia"/>
                <w:b/>
                <w:bCs/>
              </w:rPr>
              <w:t>可计分</w:t>
            </w: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pPr>
          </w:p>
        </w:tc>
        <w:tc>
          <w:tcPr>
            <w:tcW w:w="467" w:type="dxa"/>
            <w:tcBorders>
              <w:bottom w:val="single" w:color="000000" w:sz="12" w:space="0"/>
              <w:tl2br w:val="nil"/>
              <w:tr2bl w:val="nil"/>
            </w:tcBorders>
            <w:vAlign w:val="center"/>
          </w:tcPr>
          <w:p>
            <w:pPr>
              <w:widowControl/>
            </w:pPr>
          </w:p>
        </w:tc>
        <w:tc>
          <w:tcPr>
            <w:tcW w:w="885" w:type="dxa"/>
            <w:tcBorders>
              <w:bottom w:val="single" w:color="000000" w:sz="12" w:space="0"/>
              <w:tl2br w:val="nil"/>
              <w:tr2bl w:val="nil"/>
            </w:tcBorders>
            <w:vAlign w:val="center"/>
          </w:tcPr>
          <w:p>
            <w:pPr>
              <w:widowControl/>
            </w:pPr>
          </w:p>
        </w:tc>
        <w:tc>
          <w:tcPr>
            <w:tcW w:w="1695" w:type="dxa"/>
            <w:tcBorders>
              <w:bottom w:val="single" w:color="000000" w:sz="12" w:space="0"/>
              <w:tl2br w:val="nil"/>
              <w:tr2bl w:val="nil"/>
            </w:tcBorders>
            <w:vAlign w:val="center"/>
          </w:tcPr>
          <w:p>
            <w:pPr>
              <w:widowControl/>
            </w:pPr>
          </w:p>
        </w:tc>
        <w:tc>
          <w:tcPr>
            <w:tcW w:w="1020" w:type="dxa"/>
            <w:tcBorders>
              <w:bottom w:val="single" w:color="000000" w:sz="12" w:space="0"/>
              <w:tl2br w:val="nil"/>
              <w:tr2bl w:val="nil"/>
            </w:tcBorders>
            <w:vAlign w:val="center"/>
          </w:tcPr>
          <w:p>
            <w:pPr>
              <w:widowControl/>
            </w:pPr>
          </w:p>
        </w:tc>
        <w:tc>
          <w:tcPr>
            <w:tcW w:w="1110" w:type="dxa"/>
            <w:tcBorders>
              <w:bottom w:val="single" w:color="000000" w:sz="12" w:space="0"/>
              <w:tl2br w:val="nil"/>
              <w:tr2bl w:val="nil"/>
            </w:tcBorders>
            <w:vAlign w:val="center"/>
          </w:tcPr>
          <w:p>
            <w:pPr>
              <w:widowControl/>
            </w:pPr>
          </w:p>
        </w:tc>
        <w:tc>
          <w:tcPr>
            <w:tcW w:w="730" w:type="dxa"/>
            <w:tcBorders>
              <w:bottom w:val="single" w:color="000000" w:sz="12" w:space="0"/>
              <w:tl2br w:val="nil"/>
              <w:tr2bl w:val="nil"/>
            </w:tcBorders>
            <w:vAlign w:val="center"/>
          </w:tcPr>
          <w:p>
            <w:pPr>
              <w:widowControl/>
            </w:pPr>
          </w:p>
        </w:tc>
        <w:tc>
          <w:tcPr>
            <w:tcW w:w="1100" w:type="dxa"/>
            <w:tcBorders>
              <w:bottom w:val="single" w:color="000000" w:sz="12" w:space="0"/>
              <w:tl2br w:val="nil"/>
              <w:tr2bl w:val="nil"/>
            </w:tcBorders>
            <w:vAlign w:val="center"/>
          </w:tcPr>
          <w:p>
            <w:pPr>
              <w:widowControl/>
            </w:pPr>
          </w:p>
        </w:tc>
        <w:tc>
          <w:tcPr>
            <w:tcW w:w="860" w:type="dxa"/>
            <w:tcBorders>
              <w:bottom w:val="single" w:color="000000" w:sz="12" w:space="0"/>
              <w:tl2br w:val="nil"/>
              <w:tr2bl w:val="nil"/>
            </w:tcBorders>
            <w:vAlign w:val="center"/>
          </w:tcPr>
          <w:p>
            <w:pPr>
              <w:widowControl/>
            </w:pPr>
          </w:p>
        </w:tc>
        <w:tc>
          <w:tcPr>
            <w:tcW w:w="1035" w:type="dxa"/>
            <w:tcBorders>
              <w:bottom w:val="single" w:color="000000" w:sz="12" w:space="0"/>
              <w:tl2br w:val="nil"/>
              <w:tr2bl w:val="nil"/>
            </w:tcBorders>
            <w:vAlign w:val="center"/>
          </w:tcPr>
          <w:p>
            <w:pPr>
              <w:widowControl/>
            </w:pPr>
          </w:p>
        </w:tc>
        <w:tc>
          <w:tcPr>
            <w:tcW w:w="675" w:type="dxa"/>
            <w:tcBorders>
              <w:bottom w:val="single" w:color="000000" w:sz="12" w:space="0"/>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pPr>
            <w:r>
              <w:rPr>
                <w:rFonts w:hint="eastAsia"/>
                <w:b/>
                <w:bCs/>
              </w:rPr>
              <w:t>不可计分</w:t>
            </w:r>
          </w:p>
        </w:tc>
        <w:tc>
          <w:tcPr>
            <w:tcW w:w="467" w:type="dxa"/>
            <w:tcBorders>
              <w:top w:val="single" w:color="000000" w:sz="12" w:space="0"/>
            </w:tcBorders>
            <w:vAlign w:val="center"/>
          </w:tcPr>
          <w:p>
            <w:pPr>
              <w:widowControl/>
            </w:pPr>
          </w:p>
        </w:tc>
        <w:tc>
          <w:tcPr>
            <w:tcW w:w="885" w:type="dxa"/>
            <w:tcBorders>
              <w:top w:val="single" w:color="000000" w:sz="12" w:space="0"/>
            </w:tcBorders>
            <w:vAlign w:val="center"/>
          </w:tcPr>
          <w:p>
            <w:pPr>
              <w:widowControl/>
            </w:pPr>
          </w:p>
        </w:tc>
        <w:tc>
          <w:tcPr>
            <w:tcW w:w="1695" w:type="dxa"/>
            <w:tcBorders>
              <w:top w:val="single" w:color="000000" w:sz="12" w:space="0"/>
            </w:tcBorders>
            <w:vAlign w:val="center"/>
          </w:tcPr>
          <w:p>
            <w:pPr>
              <w:widowControl/>
            </w:pPr>
          </w:p>
        </w:tc>
        <w:tc>
          <w:tcPr>
            <w:tcW w:w="1020" w:type="dxa"/>
            <w:tcBorders>
              <w:top w:val="single" w:color="000000" w:sz="12" w:space="0"/>
            </w:tcBorders>
            <w:vAlign w:val="center"/>
          </w:tcPr>
          <w:p>
            <w:pPr>
              <w:widowControl/>
            </w:pPr>
          </w:p>
        </w:tc>
        <w:tc>
          <w:tcPr>
            <w:tcW w:w="1110" w:type="dxa"/>
            <w:tcBorders>
              <w:top w:val="single" w:color="000000" w:sz="12" w:space="0"/>
            </w:tcBorders>
            <w:vAlign w:val="center"/>
          </w:tcPr>
          <w:p>
            <w:pPr>
              <w:widowControl/>
            </w:pPr>
          </w:p>
        </w:tc>
        <w:tc>
          <w:tcPr>
            <w:tcW w:w="730" w:type="dxa"/>
            <w:tcBorders>
              <w:top w:val="single" w:color="000000" w:sz="12" w:space="0"/>
            </w:tcBorders>
            <w:vAlign w:val="center"/>
          </w:tcPr>
          <w:p>
            <w:pPr>
              <w:widowControl/>
            </w:pPr>
          </w:p>
        </w:tc>
        <w:tc>
          <w:tcPr>
            <w:tcW w:w="1100" w:type="dxa"/>
            <w:tcBorders>
              <w:top w:val="single" w:color="000000" w:sz="12" w:space="0"/>
            </w:tcBorders>
            <w:vAlign w:val="center"/>
          </w:tcPr>
          <w:p>
            <w:pPr>
              <w:widowControl/>
            </w:pPr>
          </w:p>
        </w:tc>
        <w:tc>
          <w:tcPr>
            <w:tcW w:w="860" w:type="dxa"/>
            <w:tcBorders>
              <w:top w:val="single" w:color="000000" w:sz="12" w:space="0"/>
            </w:tcBorders>
            <w:vAlign w:val="center"/>
          </w:tcPr>
          <w:p>
            <w:pPr>
              <w:widowControl/>
            </w:pPr>
          </w:p>
        </w:tc>
        <w:tc>
          <w:tcPr>
            <w:tcW w:w="1035" w:type="dxa"/>
            <w:tcBorders>
              <w:top w:val="single" w:color="000000" w:sz="12" w:space="0"/>
            </w:tcBorders>
            <w:vAlign w:val="center"/>
          </w:tcPr>
          <w:p>
            <w:pPr>
              <w:widowControl/>
            </w:pPr>
          </w:p>
        </w:tc>
        <w:tc>
          <w:tcPr>
            <w:tcW w:w="675" w:type="dxa"/>
            <w:tcBorders>
              <w:top w:val="single" w:color="000000" w:sz="12" w:space="0"/>
            </w:tcBorders>
            <w:vAlign w:val="center"/>
          </w:tcPr>
          <w:p>
            <w:pPr>
              <w:widowControl/>
              <w:snapToGrid w:val="0"/>
            </w:pPr>
          </w:p>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pP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snapToGrid w:val="0"/>
            </w:pPr>
          </w:p>
          <w:p>
            <w:pPr>
              <w:widowControl/>
            </w:pPr>
          </w:p>
        </w:tc>
      </w:tr>
    </w:tbl>
    <w:p>
      <w:pPr>
        <w:keepLines/>
        <w:widowControl/>
        <w:ind w:firstLine="630" w:firstLineChars="300"/>
        <w:jc w:val="left"/>
      </w:pPr>
      <w:r>
        <w:rPr>
          <w:rFonts w:hint="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b/>
                <w:bCs/>
              </w:rPr>
            </w:pPr>
            <w:r>
              <w:rPr>
                <w:rFonts w:hint="eastAsia"/>
                <w:b/>
                <w:bCs/>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pPr>
              <w:overflowPunct w:val="0"/>
              <w:jc w:val="center"/>
              <w:rPr>
                <w:rFonts w:eastAsia="宋体"/>
                <w:b/>
                <w:bCs/>
              </w:rPr>
            </w:pPr>
            <w:r>
              <w:rPr>
                <w:rFonts w:hint="eastAsia"/>
                <w:b/>
                <w:bCs/>
              </w:rPr>
              <w:t>序号</w:t>
            </w:r>
          </w:p>
        </w:tc>
        <w:tc>
          <w:tcPr>
            <w:tcW w:w="1281" w:type="dxa"/>
            <w:tcBorders>
              <w:tl2br w:val="nil"/>
              <w:tr2bl w:val="nil"/>
            </w:tcBorders>
            <w:vAlign w:val="center"/>
          </w:tcPr>
          <w:p>
            <w:pPr>
              <w:overflowPunct w:val="0"/>
              <w:jc w:val="center"/>
              <w:rPr>
                <w:b/>
                <w:bCs/>
              </w:rPr>
            </w:pPr>
            <w:r>
              <w:rPr>
                <w:rFonts w:hint="eastAsia"/>
                <w:b/>
                <w:bCs/>
              </w:rPr>
              <w:t>奖励等级</w:t>
            </w:r>
          </w:p>
        </w:tc>
        <w:tc>
          <w:tcPr>
            <w:tcW w:w="1814" w:type="dxa"/>
            <w:tcBorders>
              <w:tl2br w:val="nil"/>
              <w:tr2bl w:val="nil"/>
            </w:tcBorders>
            <w:vAlign w:val="center"/>
          </w:tcPr>
          <w:p>
            <w:pPr>
              <w:overflowPunct w:val="0"/>
              <w:jc w:val="center"/>
              <w:rPr>
                <w:b/>
                <w:bCs/>
              </w:rPr>
            </w:pPr>
            <w:r>
              <w:rPr>
                <w:rFonts w:hint="eastAsia"/>
                <w:b/>
                <w:bCs/>
              </w:rPr>
              <w:t>获奖成果名称</w:t>
            </w:r>
          </w:p>
        </w:tc>
        <w:tc>
          <w:tcPr>
            <w:tcW w:w="1200" w:type="dxa"/>
            <w:tcBorders>
              <w:tl2br w:val="nil"/>
              <w:tr2bl w:val="nil"/>
            </w:tcBorders>
            <w:vAlign w:val="center"/>
          </w:tcPr>
          <w:p>
            <w:pPr>
              <w:overflowPunct w:val="0"/>
              <w:jc w:val="center"/>
              <w:rPr>
                <w:b/>
                <w:bCs/>
              </w:rPr>
            </w:pPr>
            <w:r>
              <w:rPr>
                <w:rFonts w:hint="eastAsia"/>
                <w:b/>
                <w:bCs/>
              </w:rPr>
              <w:t>获奖</w:t>
            </w:r>
          </w:p>
          <w:p>
            <w:pPr>
              <w:overflowPunct w:val="0"/>
              <w:jc w:val="center"/>
              <w:rPr>
                <w:rFonts w:eastAsia="宋体"/>
                <w:b/>
                <w:bCs/>
              </w:rPr>
            </w:pPr>
            <w:r>
              <w:rPr>
                <w:rFonts w:hint="eastAsia"/>
                <w:b/>
                <w:bCs/>
              </w:rPr>
              <w:t>等级</w:t>
            </w:r>
          </w:p>
        </w:tc>
        <w:tc>
          <w:tcPr>
            <w:tcW w:w="736" w:type="dxa"/>
            <w:tcBorders>
              <w:tl2br w:val="nil"/>
              <w:tr2bl w:val="nil"/>
            </w:tcBorders>
            <w:vAlign w:val="center"/>
          </w:tcPr>
          <w:p>
            <w:pPr>
              <w:overflowPunct w:val="0"/>
              <w:jc w:val="center"/>
              <w:rPr>
                <w:rFonts w:eastAsia="宋体"/>
                <w:b/>
                <w:bCs/>
              </w:rPr>
            </w:pPr>
            <w:r>
              <w:rPr>
                <w:rFonts w:hint="eastAsia"/>
                <w:b/>
                <w:bCs/>
              </w:rPr>
              <w:t>奖励名称</w:t>
            </w:r>
          </w:p>
        </w:tc>
        <w:tc>
          <w:tcPr>
            <w:tcW w:w="1105" w:type="dxa"/>
            <w:tcBorders>
              <w:tl2br w:val="nil"/>
              <w:tr2bl w:val="nil"/>
            </w:tcBorders>
            <w:vAlign w:val="center"/>
          </w:tcPr>
          <w:p>
            <w:pPr>
              <w:overflowPunct w:val="0"/>
              <w:jc w:val="center"/>
              <w:rPr>
                <w:b/>
                <w:bCs/>
              </w:rPr>
            </w:pPr>
            <w:r>
              <w:rPr>
                <w:rFonts w:hint="eastAsia"/>
                <w:b/>
                <w:bCs/>
              </w:rPr>
              <w:t>获奖</w:t>
            </w:r>
          </w:p>
          <w:p>
            <w:pPr>
              <w:overflowPunct w:val="0"/>
              <w:jc w:val="center"/>
              <w:rPr>
                <w:b/>
                <w:bCs/>
              </w:rPr>
            </w:pPr>
            <w:r>
              <w:rPr>
                <w:rFonts w:hint="eastAsia"/>
                <w:b/>
                <w:bCs/>
              </w:rPr>
              <w:t>年月</w:t>
            </w:r>
          </w:p>
        </w:tc>
        <w:tc>
          <w:tcPr>
            <w:tcW w:w="1104" w:type="dxa"/>
            <w:tcBorders>
              <w:tl2br w:val="nil"/>
              <w:tr2bl w:val="nil"/>
            </w:tcBorders>
            <w:vAlign w:val="center"/>
          </w:tcPr>
          <w:p>
            <w:pPr>
              <w:overflowPunct w:val="0"/>
              <w:jc w:val="center"/>
              <w:rPr>
                <w:b/>
                <w:bCs/>
              </w:rPr>
            </w:pPr>
            <w:r>
              <w:rPr>
                <w:rFonts w:hint="eastAsia"/>
                <w:b/>
                <w:bCs/>
              </w:rPr>
              <w:t>第几</w:t>
            </w:r>
          </w:p>
          <w:p>
            <w:pPr>
              <w:overflowPunct w:val="0"/>
              <w:jc w:val="center"/>
              <w:rPr>
                <w:rFonts w:eastAsia="宋体"/>
                <w:b/>
                <w:bCs/>
              </w:rPr>
            </w:pPr>
            <w:r>
              <w:rPr>
                <w:rFonts w:hint="eastAsia"/>
                <w:b/>
                <w:bCs/>
              </w:rPr>
              <w:t>完成人</w:t>
            </w:r>
          </w:p>
        </w:tc>
        <w:tc>
          <w:tcPr>
            <w:tcW w:w="750" w:type="dxa"/>
            <w:tcBorders>
              <w:tl2br w:val="nil"/>
              <w:tr2bl w:val="nil"/>
            </w:tcBorders>
            <w:vAlign w:val="center"/>
          </w:tcPr>
          <w:p>
            <w:pPr>
              <w:overflowPunct w:val="0"/>
              <w:jc w:val="center"/>
              <w:rPr>
                <w:rFonts w:eastAsia="宋体"/>
                <w:b/>
                <w:bCs/>
              </w:rPr>
            </w:pPr>
            <w:r>
              <w:rPr>
                <w:rFonts w:hint="eastAsia"/>
                <w:b/>
                <w:bCs/>
              </w:rPr>
              <w:t>备注</w:t>
            </w:r>
          </w:p>
        </w:tc>
        <w:tc>
          <w:tcPr>
            <w:tcW w:w="648" w:type="dxa"/>
            <w:tcBorders>
              <w:tl2br w:val="nil"/>
              <w:tr2bl w:val="nil"/>
            </w:tcBorders>
            <w:vAlign w:val="center"/>
          </w:tcPr>
          <w:p>
            <w:pPr>
              <w:overflowPunct w:val="0"/>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pPr>
            <w:r>
              <w:rPr>
                <w:rFonts w:hint="eastAsia"/>
                <w:b/>
                <w:bCs/>
              </w:rPr>
              <w:t>可计分</w:t>
            </w:r>
          </w:p>
        </w:tc>
        <w:tc>
          <w:tcPr>
            <w:tcW w:w="887" w:type="dxa"/>
            <w:tcBorders>
              <w:tl2br w:val="nil"/>
              <w:tr2bl w:val="nil"/>
            </w:tcBorders>
            <w:vAlign w:val="center"/>
          </w:tcPr>
          <w:p>
            <w:pPr>
              <w:overflowPunct w:val="0"/>
              <w:jc w:val="center"/>
            </w:pPr>
          </w:p>
        </w:tc>
        <w:tc>
          <w:tcPr>
            <w:tcW w:w="1281" w:type="dxa"/>
            <w:tcBorders>
              <w:tl2br w:val="nil"/>
              <w:tr2bl w:val="nil"/>
            </w:tcBorders>
            <w:vAlign w:val="center"/>
          </w:tcPr>
          <w:p>
            <w:pPr>
              <w:overflowPunct w:val="0"/>
              <w:jc w:val="center"/>
            </w:pPr>
          </w:p>
        </w:tc>
        <w:tc>
          <w:tcPr>
            <w:tcW w:w="1814" w:type="dxa"/>
            <w:tcBorders>
              <w:tl2br w:val="nil"/>
              <w:tr2bl w:val="nil"/>
            </w:tcBorders>
            <w:vAlign w:val="center"/>
          </w:tcPr>
          <w:p>
            <w:pPr>
              <w:overflowPunct w:val="0"/>
              <w:jc w:val="center"/>
            </w:pPr>
          </w:p>
        </w:tc>
        <w:tc>
          <w:tcPr>
            <w:tcW w:w="1200" w:type="dxa"/>
            <w:tcBorders>
              <w:tl2br w:val="nil"/>
              <w:tr2bl w:val="nil"/>
            </w:tcBorders>
            <w:vAlign w:val="center"/>
          </w:tcPr>
          <w:p>
            <w:pPr>
              <w:overflowPunct w:val="0"/>
              <w:jc w:val="center"/>
            </w:pPr>
          </w:p>
        </w:tc>
        <w:tc>
          <w:tcPr>
            <w:tcW w:w="736" w:type="dxa"/>
            <w:tcBorders>
              <w:tl2br w:val="nil"/>
              <w:tr2bl w:val="nil"/>
            </w:tcBorders>
            <w:vAlign w:val="center"/>
          </w:tcPr>
          <w:p>
            <w:pPr>
              <w:overflowPunct w:val="0"/>
              <w:jc w:val="center"/>
            </w:pPr>
          </w:p>
        </w:tc>
        <w:tc>
          <w:tcPr>
            <w:tcW w:w="1105" w:type="dxa"/>
            <w:tcBorders>
              <w:tl2br w:val="nil"/>
              <w:tr2bl w:val="nil"/>
            </w:tcBorders>
            <w:vAlign w:val="center"/>
          </w:tcPr>
          <w:p>
            <w:pPr>
              <w:overflowPunct w:val="0"/>
              <w:jc w:val="center"/>
            </w:pPr>
          </w:p>
        </w:tc>
        <w:tc>
          <w:tcPr>
            <w:tcW w:w="1104" w:type="dxa"/>
            <w:tcBorders>
              <w:tl2br w:val="nil"/>
              <w:tr2bl w:val="nil"/>
            </w:tcBorders>
            <w:vAlign w:val="center"/>
          </w:tcPr>
          <w:p>
            <w:pPr>
              <w:overflowPunct w:val="0"/>
              <w:jc w:val="center"/>
            </w:pPr>
          </w:p>
        </w:tc>
        <w:tc>
          <w:tcPr>
            <w:tcW w:w="750" w:type="dxa"/>
            <w:tcBorders>
              <w:tl2br w:val="nil"/>
              <w:tr2bl w:val="nil"/>
            </w:tcBorders>
            <w:vAlign w:val="center"/>
          </w:tcPr>
          <w:p>
            <w:pPr>
              <w:overflowPunct w:val="0"/>
              <w:jc w:val="center"/>
            </w:pPr>
          </w:p>
        </w:tc>
        <w:tc>
          <w:tcPr>
            <w:tcW w:w="648" w:type="dxa"/>
            <w:tcBorders>
              <w:tl2br w:val="nil"/>
              <w:tr2bl w:val="nil"/>
            </w:tcBorders>
            <w:vAlign w:val="center"/>
          </w:tcPr>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pPr>
          </w:p>
        </w:tc>
        <w:tc>
          <w:tcPr>
            <w:tcW w:w="887" w:type="dxa"/>
            <w:tcBorders>
              <w:bottom w:val="single" w:color="000000" w:sz="12" w:space="0"/>
              <w:tl2br w:val="nil"/>
              <w:tr2bl w:val="nil"/>
            </w:tcBorders>
            <w:vAlign w:val="center"/>
          </w:tcPr>
          <w:p>
            <w:pPr>
              <w:overflowPunct w:val="0"/>
              <w:jc w:val="center"/>
            </w:pPr>
          </w:p>
        </w:tc>
        <w:tc>
          <w:tcPr>
            <w:tcW w:w="1281" w:type="dxa"/>
            <w:tcBorders>
              <w:bottom w:val="single" w:color="000000" w:sz="12" w:space="0"/>
              <w:tl2br w:val="nil"/>
              <w:tr2bl w:val="nil"/>
            </w:tcBorders>
            <w:vAlign w:val="center"/>
          </w:tcPr>
          <w:p>
            <w:pPr>
              <w:overflowPunct w:val="0"/>
              <w:jc w:val="center"/>
            </w:pPr>
          </w:p>
        </w:tc>
        <w:tc>
          <w:tcPr>
            <w:tcW w:w="1814" w:type="dxa"/>
            <w:tcBorders>
              <w:bottom w:val="single" w:color="000000" w:sz="12" w:space="0"/>
              <w:tl2br w:val="nil"/>
              <w:tr2bl w:val="nil"/>
            </w:tcBorders>
            <w:vAlign w:val="center"/>
          </w:tcPr>
          <w:p>
            <w:pPr>
              <w:overflowPunct w:val="0"/>
              <w:jc w:val="center"/>
            </w:pPr>
          </w:p>
        </w:tc>
        <w:tc>
          <w:tcPr>
            <w:tcW w:w="1200" w:type="dxa"/>
            <w:tcBorders>
              <w:bottom w:val="single" w:color="000000" w:sz="12" w:space="0"/>
              <w:tl2br w:val="nil"/>
              <w:tr2bl w:val="nil"/>
            </w:tcBorders>
            <w:vAlign w:val="center"/>
          </w:tcPr>
          <w:p>
            <w:pPr>
              <w:overflowPunct w:val="0"/>
              <w:jc w:val="center"/>
            </w:pPr>
          </w:p>
        </w:tc>
        <w:tc>
          <w:tcPr>
            <w:tcW w:w="736" w:type="dxa"/>
            <w:tcBorders>
              <w:bottom w:val="single" w:color="000000" w:sz="12" w:space="0"/>
              <w:tl2br w:val="nil"/>
              <w:tr2bl w:val="nil"/>
            </w:tcBorders>
            <w:vAlign w:val="center"/>
          </w:tcPr>
          <w:p>
            <w:pPr>
              <w:overflowPunct w:val="0"/>
              <w:jc w:val="center"/>
            </w:pPr>
          </w:p>
        </w:tc>
        <w:tc>
          <w:tcPr>
            <w:tcW w:w="1105" w:type="dxa"/>
            <w:tcBorders>
              <w:bottom w:val="single" w:color="000000" w:sz="12" w:space="0"/>
              <w:tl2br w:val="nil"/>
              <w:tr2bl w:val="nil"/>
            </w:tcBorders>
            <w:vAlign w:val="center"/>
          </w:tcPr>
          <w:p>
            <w:pPr>
              <w:overflowPunct w:val="0"/>
              <w:jc w:val="center"/>
            </w:pPr>
          </w:p>
        </w:tc>
        <w:tc>
          <w:tcPr>
            <w:tcW w:w="1104" w:type="dxa"/>
            <w:tcBorders>
              <w:bottom w:val="single" w:color="000000" w:sz="12" w:space="0"/>
              <w:tl2br w:val="nil"/>
              <w:tr2bl w:val="nil"/>
            </w:tcBorders>
            <w:vAlign w:val="center"/>
          </w:tcPr>
          <w:p>
            <w:pPr>
              <w:overflowPunct w:val="0"/>
              <w:jc w:val="center"/>
            </w:pPr>
          </w:p>
        </w:tc>
        <w:tc>
          <w:tcPr>
            <w:tcW w:w="750" w:type="dxa"/>
            <w:tcBorders>
              <w:bottom w:val="single" w:color="000000" w:sz="12" w:space="0"/>
              <w:tl2br w:val="nil"/>
              <w:tr2bl w:val="nil"/>
            </w:tcBorders>
            <w:vAlign w:val="center"/>
          </w:tcPr>
          <w:p>
            <w:pPr>
              <w:overflowPunct w:val="0"/>
              <w:jc w:val="center"/>
            </w:pPr>
          </w:p>
        </w:tc>
        <w:tc>
          <w:tcPr>
            <w:tcW w:w="648" w:type="dxa"/>
            <w:tcBorders>
              <w:bottom w:val="single" w:color="000000" w:sz="12" w:space="0"/>
              <w:tl2br w:val="nil"/>
              <w:tr2bl w:val="nil"/>
            </w:tcBorders>
            <w:vAlign w:val="center"/>
          </w:tcPr>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pPr>
            <w:r>
              <w:rPr>
                <w:rFonts w:hint="eastAsia"/>
                <w:b/>
                <w:bCs/>
              </w:rPr>
              <w:t>不可计分</w:t>
            </w:r>
          </w:p>
        </w:tc>
        <w:tc>
          <w:tcPr>
            <w:tcW w:w="887" w:type="dxa"/>
            <w:tcBorders>
              <w:top w:val="single" w:color="000000" w:sz="12" w:space="0"/>
            </w:tcBorders>
          </w:tcPr>
          <w:p>
            <w:pPr>
              <w:overflowPunct w:val="0"/>
              <w:jc w:val="center"/>
            </w:pPr>
          </w:p>
        </w:tc>
        <w:tc>
          <w:tcPr>
            <w:tcW w:w="1281" w:type="dxa"/>
            <w:tcBorders>
              <w:top w:val="single" w:color="000000" w:sz="12" w:space="0"/>
            </w:tcBorders>
          </w:tcPr>
          <w:p>
            <w:pPr>
              <w:overflowPunct w:val="0"/>
              <w:jc w:val="center"/>
            </w:pPr>
          </w:p>
        </w:tc>
        <w:tc>
          <w:tcPr>
            <w:tcW w:w="1814" w:type="dxa"/>
            <w:tcBorders>
              <w:top w:val="single" w:color="000000" w:sz="12" w:space="0"/>
            </w:tcBorders>
          </w:tcPr>
          <w:p>
            <w:pPr>
              <w:overflowPunct w:val="0"/>
              <w:jc w:val="center"/>
            </w:pPr>
          </w:p>
        </w:tc>
        <w:tc>
          <w:tcPr>
            <w:tcW w:w="1200" w:type="dxa"/>
            <w:tcBorders>
              <w:top w:val="single" w:color="000000" w:sz="12" w:space="0"/>
            </w:tcBorders>
          </w:tcPr>
          <w:p>
            <w:pPr>
              <w:overflowPunct w:val="0"/>
              <w:jc w:val="center"/>
            </w:pPr>
          </w:p>
        </w:tc>
        <w:tc>
          <w:tcPr>
            <w:tcW w:w="736" w:type="dxa"/>
            <w:tcBorders>
              <w:top w:val="single" w:color="000000" w:sz="12" w:space="0"/>
            </w:tcBorders>
          </w:tcPr>
          <w:p>
            <w:pPr>
              <w:overflowPunct w:val="0"/>
              <w:jc w:val="center"/>
            </w:pPr>
          </w:p>
        </w:tc>
        <w:tc>
          <w:tcPr>
            <w:tcW w:w="1105" w:type="dxa"/>
            <w:tcBorders>
              <w:top w:val="single" w:color="000000" w:sz="12" w:space="0"/>
            </w:tcBorders>
          </w:tcPr>
          <w:p>
            <w:pPr>
              <w:overflowPunct w:val="0"/>
              <w:jc w:val="center"/>
            </w:pPr>
          </w:p>
        </w:tc>
        <w:tc>
          <w:tcPr>
            <w:tcW w:w="1104" w:type="dxa"/>
            <w:tcBorders>
              <w:top w:val="single" w:color="000000" w:sz="12" w:space="0"/>
            </w:tcBorders>
          </w:tcPr>
          <w:p>
            <w:pPr>
              <w:overflowPunct w:val="0"/>
              <w:jc w:val="center"/>
            </w:pPr>
          </w:p>
        </w:tc>
        <w:tc>
          <w:tcPr>
            <w:tcW w:w="750" w:type="dxa"/>
            <w:tcBorders>
              <w:top w:val="single" w:color="000000" w:sz="12" w:space="0"/>
            </w:tcBorders>
          </w:tcPr>
          <w:p>
            <w:pPr>
              <w:overflowPunct w:val="0"/>
              <w:jc w:val="center"/>
            </w:pPr>
          </w:p>
        </w:tc>
        <w:tc>
          <w:tcPr>
            <w:tcW w:w="648" w:type="dxa"/>
            <w:tcBorders>
              <w:top w:val="single" w:color="000000" w:sz="12" w:space="0"/>
            </w:tcBorders>
          </w:tcPr>
          <w:p>
            <w:pPr>
              <w:overflowPunct w:val="0"/>
              <w:snapToGrid w:val="0"/>
              <w:jc w:val="center"/>
            </w:pPr>
          </w:p>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b/>
                <w:bCs/>
              </w:rPr>
            </w:pPr>
          </w:p>
        </w:tc>
        <w:tc>
          <w:tcPr>
            <w:tcW w:w="887" w:type="dxa"/>
            <w:tcBorders>
              <w:tl2br w:val="nil"/>
              <w:tr2bl w:val="nil"/>
            </w:tcBorders>
          </w:tcPr>
          <w:p>
            <w:pPr>
              <w:overflowPunct w:val="0"/>
              <w:jc w:val="center"/>
            </w:pPr>
          </w:p>
        </w:tc>
        <w:tc>
          <w:tcPr>
            <w:tcW w:w="1281" w:type="dxa"/>
            <w:tcBorders>
              <w:tl2br w:val="nil"/>
              <w:tr2bl w:val="nil"/>
            </w:tcBorders>
          </w:tcPr>
          <w:p>
            <w:pPr>
              <w:overflowPunct w:val="0"/>
              <w:jc w:val="center"/>
            </w:pPr>
          </w:p>
        </w:tc>
        <w:tc>
          <w:tcPr>
            <w:tcW w:w="1814" w:type="dxa"/>
            <w:tcBorders>
              <w:tl2br w:val="nil"/>
              <w:tr2bl w:val="nil"/>
            </w:tcBorders>
          </w:tcPr>
          <w:p>
            <w:pPr>
              <w:overflowPunct w:val="0"/>
              <w:jc w:val="center"/>
            </w:pPr>
          </w:p>
        </w:tc>
        <w:tc>
          <w:tcPr>
            <w:tcW w:w="1200" w:type="dxa"/>
            <w:tcBorders>
              <w:tl2br w:val="nil"/>
              <w:tr2bl w:val="nil"/>
            </w:tcBorders>
          </w:tcPr>
          <w:p>
            <w:pPr>
              <w:overflowPunct w:val="0"/>
              <w:jc w:val="center"/>
            </w:pPr>
          </w:p>
        </w:tc>
        <w:tc>
          <w:tcPr>
            <w:tcW w:w="736" w:type="dxa"/>
            <w:tcBorders>
              <w:tl2br w:val="nil"/>
              <w:tr2bl w:val="nil"/>
            </w:tcBorders>
          </w:tcPr>
          <w:p>
            <w:pPr>
              <w:overflowPunct w:val="0"/>
              <w:jc w:val="center"/>
            </w:pPr>
          </w:p>
        </w:tc>
        <w:tc>
          <w:tcPr>
            <w:tcW w:w="1105" w:type="dxa"/>
            <w:tcBorders>
              <w:tl2br w:val="nil"/>
              <w:tr2bl w:val="nil"/>
            </w:tcBorders>
          </w:tcPr>
          <w:p>
            <w:pPr>
              <w:overflowPunct w:val="0"/>
              <w:jc w:val="center"/>
            </w:pPr>
          </w:p>
        </w:tc>
        <w:tc>
          <w:tcPr>
            <w:tcW w:w="1104" w:type="dxa"/>
            <w:tcBorders>
              <w:tl2br w:val="nil"/>
              <w:tr2bl w:val="nil"/>
            </w:tcBorders>
          </w:tcPr>
          <w:p>
            <w:pPr>
              <w:overflowPunct w:val="0"/>
              <w:jc w:val="center"/>
            </w:pPr>
          </w:p>
        </w:tc>
        <w:tc>
          <w:tcPr>
            <w:tcW w:w="750" w:type="dxa"/>
            <w:tcBorders>
              <w:tl2br w:val="nil"/>
              <w:tr2bl w:val="nil"/>
            </w:tcBorders>
          </w:tcPr>
          <w:p>
            <w:pPr>
              <w:overflowPunct w:val="0"/>
              <w:jc w:val="center"/>
            </w:pPr>
          </w:p>
        </w:tc>
        <w:tc>
          <w:tcPr>
            <w:tcW w:w="648" w:type="dxa"/>
            <w:tcBorders>
              <w:tl2br w:val="nil"/>
              <w:tr2bl w:val="nil"/>
            </w:tcBorders>
          </w:tcPr>
          <w:p>
            <w:pPr>
              <w:overflowPunct w:val="0"/>
              <w:snapToGrid w:val="0"/>
              <w:jc w:val="center"/>
            </w:pPr>
          </w:p>
          <w:p>
            <w:pPr>
              <w:overflowPunct w:val="0"/>
              <w:jc w:val="center"/>
            </w:pPr>
          </w:p>
        </w:tc>
      </w:tr>
    </w:tbl>
    <w:p>
      <w:pPr>
        <w:overflowPunct w:val="0"/>
        <w:ind w:firstLine="420" w:firstLineChars="200"/>
      </w:pPr>
      <w:r>
        <w:rPr>
          <w:rFonts w:hint="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b/>
                <w:bCs/>
              </w:rPr>
            </w:pPr>
            <w:r>
              <w:rPr>
                <w:rFonts w:hint="eastAsia"/>
                <w:b/>
                <w:bCs/>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eastAsia="宋体"/>
              </w:rPr>
            </w:pPr>
            <w:r>
              <w:rPr>
                <w:rFonts w:hint="eastAsia" w:eastAsia="宋体"/>
                <w:b/>
                <w:bCs/>
              </w:rPr>
              <w:t>类别</w:t>
            </w:r>
          </w:p>
        </w:tc>
        <w:tc>
          <w:tcPr>
            <w:tcW w:w="880" w:type="dxa"/>
            <w:tcBorders>
              <w:tl2br w:val="nil"/>
              <w:tr2bl w:val="nil"/>
            </w:tcBorders>
            <w:vAlign w:val="center"/>
          </w:tcPr>
          <w:p>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pPr>
              <w:widowControl/>
              <w:jc w:val="center"/>
              <w:rPr>
                <w:b/>
                <w:bCs/>
              </w:rPr>
            </w:pPr>
            <w:r>
              <w:rPr>
                <w:rFonts w:hint="eastAsia"/>
                <w:b/>
                <w:bCs/>
              </w:rPr>
              <w:t>采纳部门</w:t>
            </w:r>
          </w:p>
          <w:p>
            <w:pPr>
              <w:widowControl/>
              <w:jc w:val="center"/>
              <w:rPr>
                <w:rFonts w:eastAsia="宋体"/>
                <w:b/>
                <w:bCs/>
              </w:rPr>
            </w:pPr>
            <w:r>
              <w:rPr>
                <w:rFonts w:hint="eastAsia"/>
                <w:b/>
                <w:bCs/>
              </w:rPr>
              <w:t>（或领导批示）</w:t>
            </w:r>
          </w:p>
        </w:tc>
        <w:tc>
          <w:tcPr>
            <w:tcW w:w="1595" w:type="dxa"/>
            <w:tcBorders>
              <w:tl2br w:val="nil"/>
              <w:tr2bl w:val="nil"/>
            </w:tcBorders>
            <w:vAlign w:val="center"/>
          </w:tcPr>
          <w:p>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rPr>
            </w:pPr>
            <w:r>
              <w:rPr>
                <w:rFonts w:hint="eastAsia"/>
                <w:b/>
                <w:bCs/>
              </w:rPr>
              <w:t>可计分</w:t>
            </w:r>
          </w:p>
        </w:tc>
        <w:tc>
          <w:tcPr>
            <w:tcW w:w="880" w:type="dxa"/>
            <w:tcBorders>
              <w:bottom w:val="single" w:color="000000" w:sz="12" w:space="0"/>
              <w:tl2br w:val="nil"/>
              <w:tr2bl w:val="nil"/>
            </w:tcBorders>
          </w:tcPr>
          <w:p>
            <w:pPr>
              <w:jc w:val="center"/>
            </w:pPr>
          </w:p>
        </w:tc>
        <w:tc>
          <w:tcPr>
            <w:tcW w:w="1370" w:type="dxa"/>
            <w:tcBorders>
              <w:bottom w:val="single" w:color="000000" w:sz="12" w:space="0"/>
              <w:tl2br w:val="nil"/>
              <w:tr2bl w:val="nil"/>
            </w:tcBorders>
          </w:tcPr>
          <w:p>
            <w:pPr>
              <w:widowControl/>
              <w:jc w:val="center"/>
            </w:pPr>
          </w:p>
        </w:tc>
        <w:tc>
          <w:tcPr>
            <w:tcW w:w="2242" w:type="dxa"/>
            <w:tcBorders>
              <w:bottom w:val="single" w:color="000000" w:sz="12" w:space="0"/>
              <w:tl2br w:val="nil"/>
              <w:tr2bl w:val="nil"/>
            </w:tcBorders>
          </w:tcPr>
          <w:p>
            <w:pPr>
              <w:widowControl/>
              <w:jc w:val="center"/>
            </w:pPr>
          </w:p>
        </w:tc>
        <w:tc>
          <w:tcPr>
            <w:tcW w:w="1964" w:type="dxa"/>
            <w:tcBorders>
              <w:bottom w:val="single" w:color="000000" w:sz="12" w:space="0"/>
              <w:tl2br w:val="nil"/>
              <w:tr2bl w:val="nil"/>
            </w:tcBorders>
          </w:tcPr>
          <w:p>
            <w:pPr>
              <w:widowControl/>
              <w:jc w:val="center"/>
            </w:pPr>
          </w:p>
        </w:tc>
        <w:tc>
          <w:tcPr>
            <w:tcW w:w="1595" w:type="dxa"/>
            <w:tcBorders>
              <w:bottom w:val="single" w:color="000000" w:sz="12" w:space="0"/>
              <w:tl2br w:val="nil"/>
              <w:tr2bl w:val="nil"/>
            </w:tcBorders>
          </w:tcPr>
          <w:p>
            <w:pPr>
              <w:widowControl/>
              <w:jc w:val="center"/>
            </w:pPr>
          </w:p>
        </w:tc>
        <w:tc>
          <w:tcPr>
            <w:tcW w:w="737" w:type="dxa"/>
            <w:tcBorders>
              <w:bottom w:val="single" w:color="000000" w:sz="12" w:space="0"/>
              <w:tl2br w:val="nil"/>
              <w:tr2bl w:val="nil"/>
            </w:tcBorders>
          </w:tcPr>
          <w:p>
            <w:pPr>
              <w:widowControl/>
              <w:jc w:val="center"/>
            </w:pPr>
          </w:p>
        </w:tc>
        <w:tc>
          <w:tcPr>
            <w:tcW w:w="68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b/>
                <w:bCs/>
              </w:rPr>
            </w:pPr>
            <w:r>
              <w:rPr>
                <w:rFonts w:hint="eastAsia"/>
                <w:b/>
                <w:bCs/>
              </w:rPr>
              <w:t>不可计分</w:t>
            </w:r>
          </w:p>
        </w:tc>
        <w:tc>
          <w:tcPr>
            <w:tcW w:w="880" w:type="dxa"/>
            <w:tcBorders>
              <w:top w:val="single" w:color="000000" w:sz="12" w:space="0"/>
            </w:tcBorders>
          </w:tcPr>
          <w:p>
            <w:pPr>
              <w:jc w:val="center"/>
            </w:pPr>
          </w:p>
        </w:tc>
        <w:tc>
          <w:tcPr>
            <w:tcW w:w="1370" w:type="dxa"/>
            <w:tcBorders>
              <w:top w:val="single" w:color="000000" w:sz="12" w:space="0"/>
            </w:tcBorders>
          </w:tcPr>
          <w:p>
            <w:pPr>
              <w:widowControl/>
              <w:jc w:val="center"/>
            </w:pPr>
          </w:p>
        </w:tc>
        <w:tc>
          <w:tcPr>
            <w:tcW w:w="2242" w:type="dxa"/>
            <w:tcBorders>
              <w:top w:val="single" w:color="000000" w:sz="12" w:space="0"/>
            </w:tcBorders>
          </w:tcPr>
          <w:p>
            <w:pPr>
              <w:widowControl/>
              <w:jc w:val="center"/>
            </w:pPr>
          </w:p>
        </w:tc>
        <w:tc>
          <w:tcPr>
            <w:tcW w:w="1964" w:type="dxa"/>
            <w:tcBorders>
              <w:top w:val="single" w:color="000000" w:sz="12" w:space="0"/>
            </w:tcBorders>
          </w:tcPr>
          <w:p>
            <w:pPr>
              <w:widowControl/>
              <w:jc w:val="center"/>
            </w:pPr>
          </w:p>
        </w:tc>
        <w:tc>
          <w:tcPr>
            <w:tcW w:w="1595" w:type="dxa"/>
            <w:tcBorders>
              <w:top w:val="single" w:color="000000" w:sz="12" w:space="0"/>
            </w:tcBorders>
          </w:tcPr>
          <w:p>
            <w:pPr>
              <w:widowControl/>
              <w:jc w:val="center"/>
            </w:pPr>
          </w:p>
        </w:tc>
        <w:tc>
          <w:tcPr>
            <w:tcW w:w="737" w:type="dxa"/>
            <w:tcBorders>
              <w:top w:val="single" w:color="000000" w:sz="12" w:space="0"/>
            </w:tcBorders>
          </w:tcPr>
          <w:p>
            <w:pPr>
              <w:widowControl/>
              <w:jc w:val="center"/>
            </w:pPr>
          </w:p>
        </w:tc>
        <w:tc>
          <w:tcPr>
            <w:tcW w:w="681" w:type="dxa"/>
            <w:tcBorders>
              <w:top w:val="single" w:color="000000" w:sz="12" w:space="0"/>
            </w:tcBorders>
          </w:tcPr>
          <w:p>
            <w:pPr>
              <w:widowControl/>
              <w:snapToGrid w:val="0"/>
              <w:jc w:val="center"/>
            </w:pPr>
          </w:p>
          <w:p>
            <w:pPr>
              <w:widowControl/>
              <w:jc w:val="center"/>
            </w:pPr>
          </w:p>
        </w:tc>
      </w:tr>
    </w:tbl>
    <w:p>
      <w:pPr>
        <w:ind w:firstLine="420" w:firstLineChars="200"/>
      </w:pPr>
      <w:r>
        <w:rPr>
          <w:rFonts w:hint="eastAsia"/>
        </w:rPr>
        <w:t>注：人文社科类参考评审文件附件1-4填写，自然科学类参考附件1-5填写，成果等级：可计分类别按A-C填写，不可计分类为D级。</w:t>
      </w:r>
    </w:p>
    <w:p>
      <w:pPr>
        <w:ind w:firstLine="420" w:firstLineChars="200"/>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b/>
                <w:bCs/>
              </w:rPr>
            </w:pPr>
            <w:r>
              <w:rPr>
                <w:rFonts w:hint="eastAsia"/>
                <w:b/>
                <w:bCs/>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eastAsia="宋体"/>
              </w:rPr>
            </w:pPr>
            <w:r>
              <w:rPr>
                <w:rFonts w:hint="eastAsia" w:eastAsia="宋体"/>
                <w:b/>
                <w:bCs/>
              </w:rPr>
              <w:t>类别</w:t>
            </w:r>
          </w:p>
        </w:tc>
        <w:tc>
          <w:tcPr>
            <w:tcW w:w="1570" w:type="dxa"/>
            <w:tcBorders>
              <w:tl2br w:val="nil"/>
              <w:tr2bl w:val="nil"/>
            </w:tcBorders>
            <w:vAlign w:val="center"/>
          </w:tcPr>
          <w:p>
            <w:pPr>
              <w:jc w:val="center"/>
              <w:rPr>
                <w:rFonts w:eastAsia="宋体"/>
                <w:b/>
                <w:bCs/>
              </w:rPr>
            </w:pPr>
            <w:r>
              <w:rPr>
                <w:rFonts w:hint="eastAsia"/>
                <w:b/>
                <w:bCs/>
              </w:rPr>
              <w:t>序号</w:t>
            </w:r>
          </w:p>
        </w:tc>
        <w:tc>
          <w:tcPr>
            <w:tcW w:w="1750" w:type="dxa"/>
            <w:tcBorders>
              <w:tl2br w:val="nil"/>
              <w:tr2bl w:val="nil"/>
            </w:tcBorders>
            <w:vAlign w:val="center"/>
          </w:tcPr>
          <w:p>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pPr>
              <w:widowControl/>
              <w:jc w:val="center"/>
              <w:rPr>
                <w:rFonts w:eastAsia="宋体"/>
                <w:b/>
                <w:bCs/>
              </w:rPr>
            </w:pPr>
            <w:r>
              <w:rPr>
                <w:rFonts w:hint="eastAsia" w:ascii="宋体" w:hAnsi="宋体" w:cs="Arial"/>
                <w:b/>
                <w:bCs/>
                <w:kern w:val="0"/>
                <w:szCs w:val="21"/>
              </w:rPr>
              <w:t>获奖名称</w:t>
            </w:r>
          </w:p>
        </w:tc>
        <w:tc>
          <w:tcPr>
            <w:tcW w:w="2000" w:type="dxa"/>
            <w:tcBorders>
              <w:tl2br w:val="nil"/>
              <w:tr2bl w:val="nil"/>
            </w:tcBorders>
            <w:vAlign w:val="center"/>
          </w:tcPr>
          <w:p>
            <w:pPr>
              <w:widowControl/>
              <w:jc w:val="center"/>
              <w:rPr>
                <w:rFonts w:eastAsia="宋体"/>
                <w:b/>
                <w:bCs/>
              </w:rPr>
            </w:pPr>
            <w:r>
              <w:rPr>
                <w:rFonts w:hint="eastAsia"/>
                <w:b/>
                <w:bCs/>
              </w:rPr>
              <w:t>获奖级别</w:t>
            </w:r>
          </w:p>
        </w:tc>
        <w:tc>
          <w:tcPr>
            <w:tcW w:w="1400" w:type="dxa"/>
            <w:tcBorders>
              <w:tl2br w:val="nil"/>
              <w:tr2bl w:val="nil"/>
            </w:tcBorders>
            <w:vAlign w:val="center"/>
          </w:tcPr>
          <w:p>
            <w:pPr>
              <w:widowControl/>
              <w:jc w:val="center"/>
              <w:rPr>
                <w:b/>
                <w:bCs/>
              </w:rPr>
            </w:pPr>
            <w:r>
              <w:rPr>
                <w:rFonts w:hint="eastAsia"/>
                <w:b/>
                <w:bCs/>
              </w:rPr>
              <w:t>举办单位</w:t>
            </w:r>
          </w:p>
        </w:tc>
        <w:tc>
          <w:tcPr>
            <w:tcW w:w="890" w:type="dxa"/>
            <w:tcBorders>
              <w:tl2br w:val="nil"/>
              <w:tr2bl w:val="nil"/>
            </w:tcBorders>
            <w:vAlign w:val="center"/>
          </w:tcPr>
          <w:p>
            <w:pPr>
              <w:widowControl/>
              <w:jc w:val="center"/>
              <w:rPr>
                <w:b/>
                <w:bCs/>
              </w:rPr>
            </w:pPr>
            <w:r>
              <w:rPr>
                <w:rFonts w:hint="eastAsia" w:ascii="宋体" w:hAnsi="宋体" w:cs="Arial"/>
                <w:b/>
                <w:bCs/>
                <w:kern w:val="0"/>
                <w:szCs w:val="21"/>
              </w:rPr>
              <w:t>举办</w:t>
            </w:r>
            <w:r>
              <w:rPr>
                <w:rFonts w:hint="eastAsia"/>
                <w:b/>
                <w:bCs/>
              </w:rPr>
              <w:t>年月</w:t>
            </w:r>
          </w:p>
        </w:tc>
        <w:tc>
          <w:tcPr>
            <w:tcW w:w="751" w:type="dxa"/>
            <w:tcBorders>
              <w:tl2br w:val="nil"/>
              <w:tr2bl w:val="nil"/>
            </w:tcBorders>
            <w:vAlign w:val="center"/>
          </w:tcPr>
          <w:p>
            <w:pPr>
              <w:widowControl/>
              <w:jc w:val="center"/>
              <w:rPr>
                <w:rFonts w:eastAsia="宋体"/>
                <w:b/>
                <w:bCs/>
              </w:rPr>
            </w:pPr>
            <w:r>
              <w:rPr>
                <w:rFonts w:hint="eastAsia" w:ascii="宋体" w:hAnsi="宋体" w:cs="Arial"/>
                <w:b/>
                <w:bCs/>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b/>
                <w:bCs/>
              </w:rPr>
            </w:pPr>
            <w:r>
              <w:rPr>
                <w:rFonts w:hint="eastAsia"/>
                <w:b/>
                <w:bCs/>
              </w:rPr>
              <w:t>可计分</w:t>
            </w:r>
          </w:p>
        </w:tc>
        <w:tc>
          <w:tcPr>
            <w:tcW w:w="1570" w:type="dxa"/>
            <w:tcBorders>
              <w:bottom w:val="single" w:color="000000" w:sz="12" w:space="0"/>
              <w:tl2br w:val="nil"/>
              <w:tr2bl w:val="nil"/>
            </w:tcBorders>
          </w:tcPr>
          <w:p>
            <w:pPr>
              <w:jc w:val="center"/>
            </w:pPr>
          </w:p>
        </w:tc>
        <w:tc>
          <w:tcPr>
            <w:tcW w:w="1750" w:type="dxa"/>
            <w:tcBorders>
              <w:bottom w:val="single" w:color="000000" w:sz="12" w:space="0"/>
              <w:tl2br w:val="nil"/>
              <w:tr2bl w:val="nil"/>
            </w:tcBorders>
          </w:tcPr>
          <w:p>
            <w:pPr>
              <w:widowControl/>
              <w:jc w:val="center"/>
            </w:pPr>
          </w:p>
        </w:tc>
        <w:tc>
          <w:tcPr>
            <w:tcW w:w="1130" w:type="dxa"/>
            <w:tcBorders>
              <w:bottom w:val="single" w:color="000000" w:sz="12" w:space="0"/>
              <w:tl2br w:val="nil"/>
              <w:tr2bl w:val="nil"/>
            </w:tcBorders>
            <w:vAlign w:val="center"/>
          </w:tcPr>
          <w:p>
            <w:pPr>
              <w:widowControl/>
              <w:jc w:val="center"/>
              <w:rPr>
                <w:rFonts w:eastAsia="宋体"/>
              </w:rPr>
            </w:pPr>
          </w:p>
        </w:tc>
        <w:tc>
          <w:tcPr>
            <w:tcW w:w="2000" w:type="dxa"/>
            <w:tcBorders>
              <w:bottom w:val="single" w:color="000000" w:sz="12" w:space="0"/>
              <w:tl2br w:val="nil"/>
              <w:tr2bl w:val="nil"/>
            </w:tcBorders>
          </w:tcPr>
          <w:p>
            <w:pPr>
              <w:widowControl/>
              <w:jc w:val="center"/>
            </w:pPr>
          </w:p>
        </w:tc>
        <w:tc>
          <w:tcPr>
            <w:tcW w:w="1400" w:type="dxa"/>
            <w:tcBorders>
              <w:bottom w:val="single" w:color="000000" w:sz="12" w:space="0"/>
              <w:tl2br w:val="nil"/>
              <w:tr2bl w:val="nil"/>
            </w:tcBorders>
          </w:tcPr>
          <w:p>
            <w:pPr>
              <w:widowControl/>
              <w:jc w:val="center"/>
            </w:pPr>
          </w:p>
        </w:tc>
        <w:tc>
          <w:tcPr>
            <w:tcW w:w="890" w:type="dxa"/>
            <w:tcBorders>
              <w:bottom w:val="single" w:color="000000" w:sz="12" w:space="0"/>
              <w:tl2br w:val="nil"/>
              <w:tr2bl w:val="nil"/>
            </w:tcBorders>
          </w:tcPr>
          <w:p>
            <w:pPr>
              <w:widowControl/>
              <w:jc w:val="center"/>
            </w:pPr>
          </w:p>
        </w:tc>
        <w:tc>
          <w:tcPr>
            <w:tcW w:w="75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b/>
                <w:bCs/>
              </w:rPr>
            </w:pPr>
            <w:r>
              <w:rPr>
                <w:rFonts w:hint="eastAsia"/>
                <w:b/>
                <w:bCs/>
              </w:rPr>
              <w:t>不可计分</w:t>
            </w:r>
          </w:p>
        </w:tc>
        <w:tc>
          <w:tcPr>
            <w:tcW w:w="1570" w:type="dxa"/>
            <w:tcBorders>
              <w:top w:val="single" w:color="000000" w:sz="12" w:space="0"/>
            </w:tcBorders>
          </w:tcPr>
          <w:p>
            <w:pPr>
              <w:jc w:val="center"/>
            </w:pPr>
          </w:p>
        </w:tc>
        <w:tc>
          <w:tcPr>
            <w:tcW w:w="1750" w:type="dxa"/>
            <w:tcBorders>
              <w:top w:val="single" w:color="000000" w:sz="12" w:space="0"/>
            </w:tcBorders>
          </w:tcPr>
          <w:p>
            <w:pPr>
              <w:widowControl/>
              <w:jc w:val="center"/>
            </w:pPr>
          </w:p>
        </w:tc>
        <w:tc>
          <w:tcPr>
            <w:tcW w:w="1130" w:type="dxa"/>
            <w:tcBorders>
              <w:top w:val="single" w:color="000000" w:sz="12" w:space="0"/>
            </w:tcBorders>
            <w:vAlign w:val="center"/>
          </w:tcPr>
          <w:p>
            <w:pPr>
              <w:widowControl/>
              <w:jc w:val="center"/>
              <w:rPr>
                <w:rFonts w:eastAsia="宋体"/>
              </w:rPr>
            </w:pPr>
          </w:p>
        </w:tc>
        <w:tc>
          <w:tcPr>
            <w:tcW w:w="2000" w:type="dxa"/>
            <w:tcBorders>
              <w:top w:val="single" w:color="000000" w:sz="12" w:space="0"/>
            </w:tcBorders>
          </w:tcPr>
          <w:p>
            <w:pPr>
              <w:widowControl/>
              <w:jc w:val="center"/>
            </w:pPr>
          </w:p>
        </w:tc>
        <w:tc>
          <w:tcPr>
            <w:tcW w:w="1400" w:type="dxa"/>
            <w:tcBorders>
              <w:top w:val="single" w:color="000000" w:sz="12" w:space="0"/>
            </w:tcBorders>
          </w:tcPr>
          <w:p>
            <w:pPr>
              <w:widowControl/>
              <w:jc w:val="center"/>
            </w:pPr>
          </w:p>
        </w:tc>
        <w:tc>
          <w:tcPr>
            <w:tcW w:w="890" w:type="dxa"/>
            <w:tcBorders>
              <w:top w:val="single" w:color="000000" w:sz="12" w:space="0"/>
            </w:tcBorders>
          </w:tcPr>
          <w:p>
            <w:pPr>
              <w:widowControl/>
              <w:jc w:val="center"/>
            </w:pPr>
          </w:p>
        </w:tc>
        <w:tc>
          <w:tcPr>
            <w:tcW w:w="751" w:type="dxa"/>
            <w:tcBorders>
              <w:top w:val="single" w:color="000000" w:sz="12" w:space="0"/>
            </w:tcBorders>
          </w:tcPr>
          <w:p>
            <w:pPr>
              <w:widowControl/>
              <w:snapToGrid w:val="0"/>
              <w:jc w:val="center"/>
            </w:pPr>
          </w:p>
          <w:p>
            <w:pPr>
              <w:widowControl/>
              <w:snapToGrid w:val="0"/>
              <w:jc w:val="center"/>
            </w:pPr>
          </w:p>
          <w:p>
            <w:pPr>
              <w:widowControl/>
              <w:jc w:val="center"/>
            </w:pPr>
          </w:p>
        </w:tc>
      </w:tr>
    </w:tbl>
    <w:p>
      <w:pPr>
        <w:ind w:firstLine="420" w:firstLineChars="200"/>
      </w:pPr>
      <w:r>
        <w:rPr>
          <w:rFonts w:hint="eastAsia"/>
        </w:rPr>
        <w:t>注：人文社科类参考附件1-</w:t>
      </w:r>
      <w:r>
        <w:t>4</w:t>
      </w:r>
      <w:r>
        <w:rPr>
          <w:rFonts w:hint="eastAsia"/>
        </w:rPr>
        <w:t>填写，指标等级：可计分类别按A-C填写，不可计分类别为D级。</w:t>
      </w:r>
    </w:p>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pPr>
              <w:widowControl/>
              <w:jc w:val="center"/>
              <w:rPr>
                <w:b/>
                <w:bCs/>
              </w:rPr>
            </w:pPr>
            <w:r>
              <w:rPr>
                <w:rFonts w:hint="eastAsia"/>
                <w:b/>
                <w:bCs/>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eastAsia="宋体"/>
              </w:rPr>
            </w:pPr>
            <w:r>
              <w:rPr>
                <w:rFonts w:hint="eastAsia" w:eastAsia="宋体"/>
                <w:b/>
                <w:bCs/>
              </w:rPr>
              <w:t>类别</w:t>
            </w:r>
          </w:p>
        </w:tc>
        <w:tc>
          <w:tcPr>
            <w:tcW w:w="860" w:type="dxa"/>
            <w:tcBorders>
              <w:tl2br w:val="nil"/>
              <w:tr2bl w:val="nil"/>
            </w:tcBorders>
          </w:tcPr>
          <w:p>
            <w:pPr>
              <w:jc w:val="center"/>
              <w:rPr>
                <w:rFonts w:eastAsia="宋体"/>
                <w:b/>
                <w:bCs/>
              </w:rPr>
            </w:pPr>
            <w:r>
              <w:rPr>
                <w:rFonts w:hint="eastAsia"/>
                <w:b/>
                <w:bCs/>
              </w:rPr>
              <w:t>序号</w:t>
            </w:r>
          </w:p>
        </w:tc>
        <w:tc>
          <w:tcPr>
            <w:tcW w:w="920" w:type="dxa"/>
            <w:tcBorders>
              <w:tl2br w:val="nil"/>
              <w:tr2bl w:val="nil"/>
            </w:tcBorders>
          </w:tcPr>
          <w:p>
            <w:pPr>
              <w:jc w:val="center"/>
              <w:rPr>
                <w:rFonts w:eastAsia="宋体"/>
                <w:b/>
                <w:bCs/>
              </w:rPr>
            </w:pPr>
            <w:r>
              <w:rPr>
                <w:rFonts w:hint="eastAsia" w:eastAsia="宋体"/>
                <w:b/>
                <w:bCs/>
              </w:rPr>
              <w:t>指标</w:t>
            </w:r>
          </w:p>
          <w:p>
            <w:pPr>
              <w:jc w:val="center"/>
              <w:rPr>
                <w:rFonts w:eastAsia="宋体"/>
                <w:b/>
                <w:bCs/>
              </w:rPr>
            </w:pPr>
            <w:r>
              <w:rPr>
                <w:rFonts w:hint="eastAsia" w:eastAsia="宋体"/>
                <w:b/>
                <w:bCs/>
              </w:rPr>
              <w:t>等级</w:t>
            </w:r>
          </w:p>
        </w:tc>
        <w:tc>
          <w:tcPr>
            <w:tcW w:w="1130" w:type="dxa"/>
            <w:tcBorders>
              <w:tl2br w:val="nil"/>
              <w:tr2bl w:val="nil"/>
            </w:tcBorders>
          </w:tcPr>
          <w:p>
            <w:pPr>
              <w:jc w:val="center"/>
              <w:rPr>
                <w:rFonts w:eastAsia="宋体"/>
                <w:b/>
                <w:bCs/>
              </w:rPr>
            </w:pPr>
            <w:r>
              <w:rPr>
                <w:rFonts w:hint="eastAsia"/>
                <w:b/>
                <w:bCs/>
              </w:rPr>
              <w:t>授权专利名称</w:t>
            </w:r>
          </w:p>
        </w:tc>
        <w:tc>
          <w:tcPr>
            <w:tcW w:w="1149" w:type="dxa"/>
            <w:tcBorders>
              <w:tl2br w:val="nil"/>
              <w:tr2bl w:val="nil"/>
            </w:tcBorders>
          </w:tcPr>
          <w:p>
            <w:pPr>
              <w:jc w:val="center"/>
              <w:rPr>
                <w:b/>
                <w:bCs/>
              </w:rPr>
            </w:pPr>
            <w:r>
              <w:rPr>
                <w:rFonts w:hint="eastAsia"/>
                <w:b/>
                <w:bCs/>
              </w:rPr>
              <w:t>专利授权号</w:t>
            </w:r>
          </w:p>
        </w:tc>
        <w:tc>
          <w:tcPr>
            <w:tcW w:w="1050" w:type="dxa"/>
            <w:tcBorders>
              <w:tl2br w:val="nil"/>
              <w:tr2bl w:val="nil"/>
            </w:tcBorders>
          </w:tcPr>
          <w:p>
            <w:pPr>
              <w:jc w:val="center"/>
              <w:rPr>
                <w:b/>
                <w:bCs/>
              </w:rPr>
            </w:pPr>
            <w:r>
              <w:rPr>
                <w:rFonts w:hint="eastAsia"/>
                <w:b/>
                <w:bCs/>
              </w:rPr>
              <w:t>专利类型</w:t>
            </w:r>
          </w:p>
        </w:tc>
        <w:tc>
          <w:tcPr>
            <w:tcW w:w="1341" w:type="dxa"/>
            <w:tcBorders>
              <w:tl2br w:val="nil"/>
              <w:tr2bl w:val="nil"/>
            </w:tcBorders>
          </w:tcPr>
          <w:p>
            <w:pPr>
              <w:jc w:val="center"/>
              <w:rPr>
                <w:b/>
                <w:bCs/>
              </w:rPr>
            </w:pPr>
            <w:r>
              <w:rPr>
                <w:rFonts w:hint="eastAsia"/>
                <w:b/>
                <w:bCs/>
              </w:rPr>
              <w:t>授权</w:t>
            </w:r>
          </w:p>
          <w:p>
            <w:pPr>
              <w:jc w:val="center"/>
              <w:rPr>
                <w:rFonts w:eastAsia="宋体"/>
                <w:b/>
                <w:bCs/>
              </w:rPr>
            </w:pPr>
            <w:r>
              <w:rPr>
                <w:rFonts w:hint="eastAsia"/>
                <w:b/>
                <w:bCs/>
              </w:rPr>
              <w:t>年月</w:t>
            </w:r>
          </w:p>
        </w:tc>
        <w:tc>
          <w:tcPr>
            <w:tcW w:w="909" w:type="dxa"/>
            <w:tcBorders>
              <w:tl2br w:val="nil"/>
              <w:tr2bl w:val="nil"/>
            </w:tcBorders>
          </w:tcPr>
          <w:p>
            <w:pPr>
              <w:jc w:val="center"/>
              <w:rPr>
                <w:b/>
                <w:bCs/>
              </w:rPr>
            </w:pPr>
            <w:r>
              <w:rPr>
                <w:rFonts w:hint="eastAsia"/>
                <w:b/>
                <w:bCs/>
              </w:rPr>
              <w:t>第几发</w:t>
            </w:r>
          </w:p>
          <w:p>
            <w:pPr>
              <w:jc w:val="center"/>
              <w:rPr>
                <w:rFonts w:eastAsia="宋体"/>
                <w:b/>
                <w:bCs/>
              </w:rPr>
            </w:pPr>
            <w:r>
              <w:rPr>
                <w:rFonts w:hint="eastAsia"/>
                <w:b/>
                <w:bCs/>
              </w:rPr>
              <w:t>明人</w:t>
            </w:r>
          </w:p>
        </w:tc>
        <w:tc>
          <w:tcPr>
            <w:tcW w:w="1411" w:type="dxa"/>
            <w:tcBorders>
              <w:tl2br w:val="nil"/>
              <w:tr2bl w:val="nil"/>
            </w:tcBorders>
          </w:tcPr>
          <w:p>
            <w:pPr>
              <w:jc w:val="center"/>
              <w:rPr>
                <w:b/>
                <w:bCs/>
              </w:rPr>
            </w:pPr>
            <w:r>
              <w:rPr>
                <w:rFonts w:hint="eastAsia"/>
                <w:b/>
                <w:bCs/>
              </w:rPr>
              <w:t>转让或实施情况</w:t>
            </w:r>
          </w:p>
        </w:tc>
        <w:tc>
          <w:tcPr>
            <w:tcW w:w="700" w:type="dxa"/>
            <w:tcBorders>
              <w:tl2br w:val="nil"/>
              <w:tr2bl w:val="nil"/>
            </w:tcBorders>
          </w:tcPr>
          <w:p>
            <w:pPr>
              <w:jc w:val="center"/>
              <w:rPr>
                <w:b/>
                <w:bCs/>
              </w:rPr>
            </w:pPr>
            <w:r>
              <w:rPr>
                <w:rFonts w:hint="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b/>
                <w:bCs/>
              </w:rPr>
            </w:pPr>
            <w:r>
              <w:rPr>
                <w:rFonts w:hint="eastAsia"/>
                <w:b/>
                <w:bCs/>
              </w:rPr>
              <w:t>可计分</w:t>
            </w:r>
          </w:p>
        </w:tc>
        <w:tc>
          <w:tcPr>
            <w:tcW w:w="860" w:type="dxa"/>
            <w:tcBorders>
              <w:bottom w:val="single" w:color="000000" w:sz="12" w:space="0"/>
              <w:tl2br w:val="nil"/>
              <w:tr2bl w:val="nil"/>
            </w:tcBorders>
          </w:tcPr>
          <w:p>
            <w:pPr>
              <w:jc w:val="left"/>
            </w:pPr>
          </w:p>
        </w:tc>
        <w:tc>
          <w:tcPr>
            <w:tcW w:w="920" w:type="dxa"/>
            <w:tcBorders>
              <w:bottom w:val="single" w:color="000000" w:sz="12" w:space="0"/>
              <w:tl2br w:val="nil"/>
              <w:tr2bl w:val="nil"/>
            </w:tcBorders>
          </w:tcPr>
          <w:p>
            <w:pPr>
              <w:jc w:val="left"/>
            </w:pPr>
          </w:p>
        </w:tc>
        <w:tc>
          <w:tcPr>
            <w:tcW w:w="1130" w:type="dxa"/>
            <w:tcBorders>
              <w:bottom w:val="single" w:color="000000" w:sz="12" w:space="0"/>
              <w:tl2br w:val="nil"/>
              <w:tr2bl w:val="nil"/>
            </w:tcBorders>
          </w:tcPr>
          <w:p>
            <w:pPr>
              <w:jc w:val="left"/>
            </w:pPr>
          </w:p>
        </w:tc>
        <w:tc>
          <w:tcPr>
            <w:tcW w:w="1149" w:type="dxa"/>
            <w:tcBorders>
              <w:bottom w:val="single" w:color="000000" w:sz="12" w:space="0"/>
              <w:tl2br w:val="nil"/>
              <w:tr2bl w:val="nil"/>
            </w:tcBorders>
          </w:tcPr>
          <w:p>
            <w:pPr>
              <w:jc w:val="left"/>
            </w:pPr>
          </w:p>
        </w:tc>
        <w:tc>
          <w:tcPr>
            <w:tcW w:w="1050" w:type="dxa"/>
            <w:tcBorders>
              <w:bottom w:val="single" w:color="000000" w:sz="12" w:space="0"/>
              <w:tl2br w:val="nil"/>
              <w:tr2bl w:val="nil"/>
            </w:tcBorders>
          </w:tcPr>
          <w:p>
            <w:pPr>
              <w:jc w:val="left"/>
            </w:pPr>
          </w:p>
        </w:tc>
        <w:tc>
          <w:tcPr>
            <w:tcW w:w="1341" w:type="dxa"/>
            <w:tcBorders>
              <w:bottom w:val="single" w:color="000000" w:sz="12" w:space="0"/>
              <w:tl2br w:val="nil"/>
              <w:tr2bl w:val="nil"/>
            </w:tcBorders>
          </w:tcPr>
          <w:p>
            <w:pPr>
              <w:jc w:val="left"/>
            </w:pPr>
          </w:p>
        </w:tc>
        <w:tc>
          <w:tcPr>
            <w:tcW w:w="909" w:type="dxa"/>
            <w:tcBorders>
              <w:bottom w:val="single" w:color="000000" w:sz="12" w:space="0"/>
              <w:tl2br w:val="nil"/>
              <w:tr2bl w:val="nil"/>
            </w:tcBorders>
          </w:tcPr>
          <w:p>
            <w:pPr>
              <w:jc w:val="left"/>
            </w:pPr>
          </w:p>
        </w:tc>
        <w:tc>
          <w:tcPr>
            <w:tcW w:w="1411" w:type="dxa"/>
            <w:tcBorders>
              <w:bottom w:val="single" w:color="000000" w:sz="12" w:space="0"/>
              <w:tl2br w:val="nil"/>
              <w:tr2bl w:val="nil"/>
            </w:tcBorders>
          </w:tcPr>
          <w:p>
            <w:pPr>
              <w:jc w:val="left"/>
            </w:pPr>
          </w:p>
        </w:tc>
        <w:tc>
          <w:tcPr>
            <w:tcW w:w="700" w:type="dxa"/>
            <w:tcBorders>
              <w:bottom w:val="single" w:color="000000" w:sz="12" w:space="0"/>
              <w:tl2br w:val="nil"/>
              <w:tr2bl w:val="nil"/>
            </w:tcBorders>
          </w:tcPr>
          <w:p>
            <w:pPr>
              <w:snapToGrid w:val="0"/>
              <w:jc w:val="left"/>
            </w:pPr>
          </w:p>
          <w:p>
            <w:pPr>
              <w:snapToGrid w:val="0"/>
              <w:jc w:val="left"/>
            </w:pPr>
          </w:p>
          <w:p>
            <w:pPr>
              <w:jc w:val="left"/>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pPr>
              <w:jc w:val="left"/>
              <w:rPr>
                <w:b/>
                <w:bCs/>
              </w:rPr>
            </w:pPr>
            <w:r>
              <w:rPr>
                <w:rFonts w:hint="eastAsia"/>
                <w:b/>
                <w:bCs/>
              </w:rPr>
              <w:t>不可计分</w:t>
            </w:r>
          </w:p>
        </w:tc>
        <w:tc>
          <w:tcPr>
            <w:tcW w:w="860" w:type="dxa"/>
            <w:tcBorders>
              <w:top w:val="single" w:color="000000" w:sz="12" w:space="0"/>
            </w:tcBorders>
          </w:tcPr>
          <w:p>
            <w:pPr>
              <w:jc w:val="left"/>
            </w:pPr>
          </w:p>
        </w:tc>
        <w:tc>
          <w:tcPr>
            <w:tcW w:w="920" w:type="dxa"/>
            <w:tcBorders>
              <w:top w:val="single" w:color="000000" w:sz="12" w:space="0"/>
            </w:tcBorders>
          </w:tcPr>
          <w:p>
            <w:pPr>
              <w:jc w:val="left"/>
            </w:pPr>
          </w:p>
        </w:tc>
        <w:tc>
          <w:tcPr>
            <w:tcW w:w="1130" w:type="dxa"/>
            <w:tcBorders>
              <w:top w:val="single" w:color="000000" w:sz="12" w:space="0"/>
            </w:tcBorders>
          </w:tcPr>
          <w:p>
            <w:pPr>
              <w:jc w:val="left"/>
            </w:pPr>
          </w:p>
        </w:tc>
        <w:tc>
          <w:tcPr>
            <w:tcW w:w="1149" w:type="dxa"/>
            <w:tcBorders>
              <w:top w:val="single" w:color="000000" w:sz="12" w:space="0"/>
            </w:tcBorders>
          </w:tcPr>
          <w:p>
            <w:pPr>
              <w:jc w:val="left"/>
            </w:pPr>
          </w:p>
        </w:tc>
        <w:tc>
          <w:tcPr>
            <w:tcW w:w="1050" w:type="dxa"/>
            <w:tcBorders>
              <w:top w:val="single" w:color="000000" w:sz="12" w:space="0"/>
            </w:tcBorders>
          </w:tcPr>
          <w:p>
            <w:pPr>
              <w:jc w:val="left"/>
            </w:pPr>
          </w:p>
        </w:tc>
        <w:tc>
          <w:tcPr>
            <w:tcW w:w="1341" w:type="dxa"/>
            <w:tcBorders>
              <w:top w:val="single" w:color="000000" w:sz="12" w:space="0"/>
            </w:tcBorders>
          </w:tcPr>
          <w:p>
            <w:pPr>
              <w:jc w:val="left"/>
            </w:pPr>
          </w:p>
        </w:tc>
        <w:tc>
          <w:tcPr>
            <w:tcW w:w="909" w:type="dxa"/>
            <w:tcBorders>
              <w:top w:val="single" w:color="000000" w:sz="12" w:space="0"/>
            </w:tcBorders>
          </w:tcPr>
          <w:p>
            <w:pPr>
              <w:jc w:val="left"/>
            </w:pPr>
          </w:p>
        </w:tc>
        <w:tc>
          <w:tcPr>
            <w:tcW w:w="1411" w:type="dxa"/>
            <w:tcBorders>
              <w:top w:val="single" w:color="000000" w:sz="12" w:space="0"/>
            </w:tcBorders>
          </w:tcPr>
          <w:p>
            <w:pPr>
              <w:jc w:val="left"/>
            </w:pPr>
          </w:p>
        </w:tc>
        <w:tc>
          <w:tcPr>
            <w:tcW w:w="700" w:type="dxa"/>
            <w:tcBorders>
              <w:top w:val="single" w:color="000000" w:sz="12" w:space="0"/>
            </w:tcBorders>
          </w:tcPr>
          <w:p>
            <w:pPr>
              <w:snapToGrid w:val="0"/>
              <w:jc w:val="left"/>
            </w:pPr>
          </w:p>
          <w:p>
            <w:pPr>
              <w:jc w:val="left"/>
            </w:pPr>
          </w:p>
        </w:tc>
      </w:tr>
    </w:tbl>
    <w:p>
      <w:pPr>
        <w:ind w:firstLine="420" w:firstLineChars="200"/>
      </w:pPr>
      <w:r>
        <w:rPr>
          <w:rFonts w:hint="eastAsia"/>
        </w:rPr>
        <w:t>注：自然科学类参考评审文件附件1-</w:t>
      </w:r>
      <w:r>
        <w:t>5</w:t>
      </w:r>
      <w:r>
        <w:rPr>
          <w:rFonts w:hint="eastAsia"/>
        </w:rPr>
        <w:t>填写，指标等级：可计分类按A-C填写，不可计分类为D级。</w:t>
      </w:r>
    </w:p>
    <w:p>
      <w:pPr>
        <w:widowControl/>
        <w:jc w:val="left"/>
        <w:rPr>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eastAsia="宋体"/>
                <w:b/>
                <w:bCs/>
              </w:rPr>
            </w:pPr>
            <w:r>
              <w:rPr>
                <w:rFonts w:hint="eastAsia" w:eastAsia="宋体"/>
                <w:b/>
                <w:bCs/>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eastAsia="宋体"/>
                <w:b/>
                <w:bCs/>
              </w:rPr>
            </w:pPr>
            <w:r>
              <w:rPr>
                <w:rFonts w:hint="eastAsia"/>
                <w:b/>
                <w:bCs/>
              </w:rPr>
              <w:t>序号</w:t>
            </w:r>
          </w:p>
        </w:tc>
        <w:tc>
          <w:tcPr>
            <w:tcW w:w="2743" w:type="dxa"/>
            <w:tcBorders>
              <w:left w:val="single" w:color="000000" w:sz="4" w:space="0"/>
              <w:right w:val="single" w:color="000000" w:sz="4" w:space="0"/>
            </w:tcBorders>
            <w:vAlign w:val="center"/>
          </w:tcPr>
          <w:p>
            <w:pPr>
              <w:jc w:val="center"/>
              <w:rPr>
                <w:b/>
                <w:bCs/>
              </w:rPr>
            </w:pPr>
            <w:r>
              <w:rPr>
                <w:rFonts w:hint="eastAsia"/>
                <w:b/>
                <w:bCs/>
              </w:rPr>
              <w:t>项目（成果）名称</w:t>
            </w:r>
          </w:p>
        </w:tc>
        <w:tc>
          <w:tcPr>
            <w:tcW w:w="1643" w:type="dxa"/>
            <w:tcBorders>
              <w:left w:val="single" w:color="000000" w:sz="4" w:space="0"/>
              <w:right w:val="single" w:color="000000" w:sz="4" w:space="0"/>
            </w:tcBorders>
            <w:vAlign w:val="center"/>
          </w:tcPr>
          <w:p>
            <w:pPr>
              <w:jc w:val="center"/>
              <w:rPr>
                <w:b/>
                <w:bCs/>
              </w:rPr>
            </w:pPr>
            <w:r>
              <w:rPr>
                <w:rFonts w:hint="eastAsia" w:eastAsia="宋体"/>
                <w:b/>
                <w:bCs/>
              </w:rPr>
              <w:t>项目来源</w:t>
            </w:r>
          </w:p>
        </w:tc>
        <w:tc>
          <w:tcPr>
            <w:tcW w:w="1168" w:type="dxa"/>
            <w:tcBorders>
              <w:left w:val="single" w:color="000000" w:sz="4" w:space="0"/>
              <w:right w:val="single" w:color="000000" w:sz="4" w:space="0"/>
            </w:tcBorders>
            <w:vAlign w:val="center"/>
          </w:tcPr>
          <w:p>
            <w:pPr>
              <w:jc w:val="center"/>
              <w:rPr>
                <w:rFonts w:eastAsia="宋体"/>
                <w:b/>
                <w:bCs/>
              </w:rPr>
            </w:pPr>
            <w:r>
              <w:rPr>
                <w:rFonts w:hint="eastAsia"/>
                <w:b/>
                <w:bCs/>
              </w:rPr>
              <w:t>转化方式</w:t>
            </w:r>
          </w:p>
        </w:tc>
        <w:tc>
          <w:tcPr>
            <w:tcW w:w="1134" w:type="dxa"/>
            <w:tcBorders>
              <w:left w:val="single" w:color="000000" w:sz="4" w:space="0"/>
              <w:right w:val="single" w:color="000000" w:sz="4" w:space="0"/>
            </w:tcBorders>
            <w:vAlign w:val="center"/>
          </w:tcPr>
          <w:p>
            <w:pPr>
              <w:jc w:val="center"/>
              <w:rPr>
                <w:rFonts w:eastAsia="宋体"/>
                <w:b/>
                <w:bCs/>
              </w:rPr>
            </w:pPr>
            <w:r>
              <w:rPr>
                <w:rFonts w:hint="eastAsia"/>
                <w:b/>
                <w:bCs/>
              </w:rPr>
              <w:t>转化年月</w:t>
            </w:r>
          </w:p>
        </w:tc>
        <w:tc>
          <w:tcPr>
            <w:tcW w:w="850" w:type="dxa"/>
            <w:tcBorders>
              <w:left w:val="single" w:color="000000" w:sz="4" w:space="0"/>
              <w:right w:val="single" w:color="000000" w:sz="4" w:space="0"/>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1187" w:type="dxa"/>
            <w:tcBorders>
              <w:left w:val="single" w:color="000000" w:sz="4" w:space="0"/>
              <w:right w:val="single" w:color="000000" w:sz="4" w:space="0"/>
            </w:tcBorders>
            <w:vAlign w:val="center"/>
          </w:tcPr>
          <w:p>
            <w:pPr>
              <w:jc w:val="center"/>
              <w:rPr>
                <w:rFonts w:eastAsia="宋体"/>
                <w:b/>
                <w:bCs/>
              </w:rPr>
            </w:pPr>
            <w:r>
              <w:rPr>
                <w:rFonts w:hint="eastAsia"/>
                <w:b/>
                <w:bCs/>
              </w:rPr>
              <w:t>到账经费（万元）</w:t>
            </w:r>
          </w:p>
        </w:tc>
        <w:tc>
          <w:tcPr>
            <w:tcW w:w="750" w:type="dxa"/>
            <w:tcBorders>
              <w:left w:val="single" w:color="000000" w:sz="4" w:space="0"/>
              <w:right w:val="single" w:color="000000" w:sz="12" w:space="0"/>
            </w:tcBorders>
            <w:vAlign w:val="center"/>
          </w:tcPr>
          <w:p>
            <w:pPr>
              <w:jc w:val="center"/>
              <w:rPr>
                <w:rFonts w:eastAsia="宋体"/>
                <w:b/>
                <w:bCs/>
              </w:rPr>
            </w:pPr>
            <w:r>
              <w:rPr>
                <w:rFonts w:hint="eastAsia"/>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tc>
        <w:tc>
          <w:tcPr>
            <w:tcW w:w="2743" w:type="dxa"/>
            <w:tcBorders>
              <w:left w:val="single" w:color="000000" w:sz="4" w:space="0"/>
              <w:bottom w:val="single" w:color="000000" w:sz="12" w:space="0"/>
              <w:right w:val="single" w:color="000000" w:sz="4" w:space="0"/>
            </w:tcBorders>
            <w:vAlign w:val="center"/>
          </w:tcPr>
          <w:p/>
        </w:tc>
        <w:tc>
          <w:tcPr>
            <w:tcW w:w="1643" w:type="dxa"/>
            <w:tcBorders>
              <w:left w:val="single" w:color="000000" w:sz="4" w:space="0"/>
              <w:bottom w:val="single" w:color="000000" w:sz="12" w:space="0"/>
              <w:right w:val="single" w:color="000000" w:sz="4" w:space="0"/>
            </w:tcBorders>
            <w:vAlign w:val="center"/>
          </w:tcPr>
          <w:p/>
        </w:tc>
        <w:tc>
          <w:tcPr>
            <w:tcW w:w="1168" w:type="dxa"/>
            <w:tcBorders>
              <w:left w:val="single" w:color="000000" w:sz="4" w:space="0"/>
              <w:bottom w:val="single" w:color="000000" w:sz="12" w:space="0"/>
              <w:right w:val="single" w:color="000000" w:sz="4" w:space="0"/>
            </w:tcBorders>
            <w:vAlign w:val="center"/>
          </w:tcPr>
          <w:p/>
        </w:tc>
        <w:tc>
          <w:tcPr>
            <w:tcW w:w="1134" w:type="dxa"/>
            <w:tcBorders>
              <w:left w:val="single" w:color="000000" w:sz="4" w:space="0"/>
              <w:bottom w:val="single" w:color="000000" w:sz="12" w:space="0"/>
              <w:right w:val="single" w:color="000000" w:sz="4" w:space="0"/>
            </w:tcBorders>
            <w:vAlign w:val="center"/>
          </w:tcPr>
          <w:p/>
        </w:tc>
        <w:tc>
          <w:tcPr>
            <w:tcW w:w="850" w:type="dxa"/>
            <w:tcBorders>
              <w:left w:val="single" w:color="000000" w:sz="4" w:space="0"/>
              <w:bottom w:val="single" w:color="000000" w:sz="12" w:space="0"/>
              <w:right w:val="single" w:color="000000" w:sz="4" w:space="0"/>
            </w:tcBorders>
            <w:vAlign w:val="center"/>
          </w:tcPr>
          <w:p/>
        </w:tc>
        <w:tc>
          <w:tcPr>
            <w:tcW w:w="1187" w:type="dxa"/>
            <w:tcBorders>
              <w:left w:val="single" w:color="000000" w:sz="4" w:space="0"/>
              <w:bottom w:val="single" w:color="000000" w:sz="12" w:space="0"/>
              <w:right w:val="single" w:color="000000" w:sz="4" w:space="0"/>
            </w:tcBorders>
            <w:vAlign w:val="center"/>
          </w:tcPr>
          <w:p/>
        </w:tc>
        <w:tc>
          <w:tcPr>
            <w:tcW w:w="750" w:type="dxa"/>
            <w:tcBorders>
              <w:left w:val="single" w:color="000000" w:sz="4" w:space="0"/>
              <w:bottom w:val="single" w:color="000000" w:sz="12" w:space="0"/>
              <w:right w:val="single" w:color="000000" w:sz="12" w:space="0"/>
            </w:tcBorders>
            <w:vAlign w:val="center"/>
          </w:tcPr>
          <w:p/>
        </w:tc>
      </w:tr>
    </w:tbl>
    <w:p>
      <w:pPr>
        <w:ind w:firstLine="630" w:firstLineChars="300"/>
      </w:pPr>
      <w:r>
        <w:rPr>
          <w:rFonts w:hint="eastAsia"/>
        </w:rPr>
        <w:t>注：参考附件1-5填写，转化方式：限填转让、许可或者作价投资。</w:t>
      </w:r>
    </w:p>
    <w:p/>
    <w:p>
      <w:pPr>
        <w:widowControl/>
        <w:jc w:val="left"/>
      </w:pPr>
      <w:r>
        <w:br w:type="page"/>
      </w:r>
    </w:p>
    <w:p>
      <w:pPr>
        <w:widowControl/>
        <w:spacing w:line="600" w:lineRule="auto"/>
        <w:jc w:val="center"/>
        <w:rPr>
          <w:rFonts w:cs="方正小标宋简体" w:asciiTheme="majorEastAsia" w:hAnsiTheme="majorEastAsia" w:eastAsiaTheme="majorEastAsia"/>
          <w:b/>
          <w:kern w:val="0"/>
          <w:szCs w:val="21"/>
        </w:rPr>
      </w:pPr>
      <w:r>
        <w:rPr>
          <w:rFonts w:hint="eastAsia" w:cs="方正小标宋简体" w:asciiTheme="majorEastAsia" w:hAnsiTheme="majorEastAsia" w:eastAsiaTheme="majorEastAsia"/>
          <w:b/>
          <w:kern w:val="0"/>
          <w:szCs w:val="21"/>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pPr>
        <w:ind w:firstLine="480" w:firstLineChars="200"/>
      </w:pPr>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444" w:type="dxa"/>
          </w:tcPr>
          <w:p>
            <w:pPr>
              <w:widowControl/>
              <w:jc w:val="left"/>
              <w:rPr>
                <w:rFonts w:asciiTheme="minorEastAsia" w:hAnsiTheme="minorEastAsia"/>
                <w:szCs w:val="21"/>
              </w:rPr>
            </w:pPr>
          </w:p>
        </w:tc>
        <w:tc>
          <w:tcPr>
            <w:tcW w:w="1106" w:type="dxa"/>
          </w:tcPr>
          <w:p>
            <w:pPr>
              <w:widowControl/>
              <w:jc w:val="left"/>
              <w:rPr>
                <w:rFonts w:asciiTheme="minorEastAsia" w:hAnsiTheme="minorEastAsia"/>
                <w:szCs w:val="21"/>
              </w:rPr>
            </w:pPr>
          </w:p>
        </w:tc>
      </w:tr>
    </w:tbl>
    <w:p>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center"/>
        <w:rPr>
          <w:rFonts w:asciiTheme="minorEastAsia" w:hAnsiTheme="minorEastAsia"/>
          <w:b/>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
            <w:pPr>
              <w:spacing w:line="500" w:lineRule="exact"/>
              <w:ind w:firstLine="420" w:firstLineChars="200"/>
              <w:rPr>
                <w:color w:val="000000"/>
                <w:szCs w:val="21"/>
                <w:shd w:val="clear" w:color="auto" w:fill="FFFFFF"/>
              </w:rPr>
            </w:pPr>
            <w:r>
              <w:rPr>
                <w:rFonts w:hint="eastAsia"/>
                <w:szCs w:val="21"/>
                <w:shd w:val="clear" w:color="auto" w:fill="FFFFFF"/>
              </w:rPr>
              <w:t>本人2009年10月晋升副教授，2009年12月被海南师范大学聘为副教授之后一直</w:t>
            </w:r>
            <w:r>
              <w:rPr>
                <w:rFonts w:hint="eastAsia"/>
                <w:szCs w:val="24"/>
              </w:rPr>
              <w:t>在教学一线从事数学师范生和教育硕士教师教育类课程的教学，及职后教师培训等相关工作。本人任现职以来一直兢兢业业，自觉坚持正确的政治取向，</w:t>
            </w:r>
            <w:r>
              <w:rPr>
                <w:rFonts w:hint="eastAsia"/>
                <w:color w:val="000000"/>
                <w:szCs w:val="21"/>
                <w:shd w:val="clear" w:color="auto" w:fill="FFFFFF"/>
              </w:rPr>
              <w:t>本人任现职以来一直兢兢业业，自觉坚持正确的政治取向，</w:t>
            </w:r>
            <w:r>
              <w:rPr>
                <w:rFonts w:hint="eastAsia" w:ascii="宋体" w:hAnsi="宋体"/>
              </w:rPr>
              <w:t>政治立场坚定，</w:t>
            </w:r>
            <w:r>
              <w:rPr>
                <w:rFonts w:hint="eastAsia"/>
                <w:color w:val="000000"/>
                <w:szCs w:val="21"/>
                <w:shd w:val="clear" w:color="auto" w:fill="FFFFFF"/>
              </w:rPr>
              <w:t>遵守学校的各项规章制度，自觉遵守社会公德和职业道德，学术道德，主动团结协作，热爱本职工作，受到领导、同事和学生的一致好评。</w:t>
            </w:r>
          </w:p>
          <w:p>
            <w:pPr>
              <w:spacing w:line="500" w:lineRule="exact"/>
              <w:ind w:firstLine="420" w:firstLineChars="200"/>
              <w:rPr>
                <w:rFonts w:ascii="宋体" w:hAnsi="宋体"/>
              </w:rPr>
            </w:pPr>
            <w:r>
              <w:rPr>
                <w:rFonts w:hint="eastAsia"/>
                <w:color w:val="000000"/>
                <w:szCs w:val="21"/>
                <w:shd w:val="clear" w:color="auto" w:fill="FFFFFF"/>
              </w:rPr>
              <w:t>因本人从事教师教育类工作，所以长期以来都关注教育动态，认真学习新的教育理论，及时更新教育理念，积极参加各种职后培训。2010年12月1日至12月10日在华南师范大学参加教育部“国培计划（2010）----培训团队研修项目”的学习，成绩显著，被评为优秀学员。</w:t>
            </w:r>
            <w:r>
              <w:rPr>
                <w:rFonts w:hint="eastAsia" w:ascii="宋体" w:hAnsi="宋体"/>
                <w:color w:val="000000"/>
              </w:rPr>
              <w:t>2018年8月12日—10</w:t>
            </w:r>
            <w:r>
              <w:rPr>
                <w:rFonts w:hint="eastAsia" w:ascii="宋体" w:hAnsi="宋体"/>
              </w:rPr>
              <w:t>月15日，前往美国密歇根州立大学和堪萨斯大学学习，对美国教师教育的发展现状有了更为深入的认识和体验。2021年10月21日至10月30日在天津师范大学参加教育部</w:t>
            </w:r>
            <w:r>
              <w:rPr>
                <w:rFonts w:hint="eastAsia"/>
                <w:color w:val="000000"/>
                <w:szCs w:val="21"/>
                <w:shd w:val="clear" w:color="auto" w:fill="FFFFFF"/>
              </w:rPr>
              <w:t>“国培计划（2021）”----学科教师培训者研修项目，成绩合格。</w:t>
            </w:r>
          </w:p>
          <w:p>
            <w:pPr>
              <w:spacing w:line="600" w:lineRule="exact"/>
              <w:ind w:firstLine="420" w:firstLineChars="200"/>
              <w:jc w:val="left"/>
              <w:rPr>
                <w:rFonts w:hint="eastAsia" w:ascii="宋体" w:hAnsi="宋体"/>
              </w:rPr>
            </w:pPr>
            <w:r>
              <w:rPr>
                <w:rFonts w:hint="eastAsia" w:ascii="宋体" w:hAnsi="宋体"/>
                <w:szCs w:val="20"/>
              </w:rPr>
              <w:t>从2009年12月至今，除去在儋州挂职半年，本人共有25个学期，共计12.5个学年的时间在校内担任本科生和教育硕士共</w:t>
            </w:r>
            <w:r>
              <w:rPr>
                <w:rFonts w:hint="eastAsia" w:ascii="宋体" w:hAnsi="宋体"/>
                <w:b/>
                <w:szCs w:val="20"/>
              </w:rPr>
              <w:t>15</w:t>
            </w:r>
            <w:r>
              <w:rPr>
                <w:rFonts w:hint="eastAsia" w:ascii="宋体" w:hAnsi="宋体"/>
                <w:szCs w:val="20"/>
              </w:rPr>
              <w:t>门课程的教学工作，其中6门为必修课程，如《数学课程与教学论》、《中学数学教学技能训练》、《线性代数》、《高等数学》、《概率论与数理统计》等。12.5个学年的课堂教学总时数为3341，年平均课时数为267.3，超出学校对教学科研型教授年平均课时数的要求。</w:t>
            </w:r>
            <w:r>
              <w:rPr>
                <w:rFonts w:hint="eastAsia" w:ascii="宋体" w:hAnsi="宋体"/>
              </w:rPr>
              <w:t>课堂教学质量测评“A”的次数达100 %。本次晋升专业技术资格的课程评估成绩为优秀档次。</w:t>
            </w:r>
          </w:p>
          <w:p>
            <w:pPr>
              <w:spacing w:line="600" w:lineRule="exact"/>
              <w:ind w:firstLine="420" w:firstLineChars="200"/>
              <w:jc w:val="left"/>
              <w:rPr>
                <w:rFonts w:ascii="宋体" w:hAnsi="宋体"/>
                <w:szCs w:val="20"/>
              </w:rPr>
            </w:pPr>
            <w:r>
              <w:rPr>
                <w:rFonts w:hint="eastAsia" w:ascii="宋体" w:hAnsi="宋体"/>
              </w:rPr>
              <w:t>本人</w:t>
            </w:r>
            <w:r>
              <w:rPr>
                <w:rFonts w:hint="eastAsia" w:ascii="宋体" w:hAnsi="宋体"/>
                <w:szCs w:val="20"/>
              </w:rPr>
              <w:t>参与2006级—2019级数学与应用数学专业本科生的14次教育见习与实习工作，于2009年、2011年2次获得顶岗支教师资培训工作中“最受学员欢迎的教师”称号，于2010年被</w:t>
            </w:r>
            <w:r>
              <w:rPr>
                <w:rFonts w:hint="eastAsia" w:ascii="宋体" w:hAnsi="宋体"/>
                <w:bCs/>
                <w:sz w:val="24"/>
              </w:rPr>
              <w:t>中共海南省委组织部、海南省教育厅、海南省财政厅、海南省扶贫工作办公室评为“双五百”人才工程中“先进个人”称号。</w:t>
            </w:r>
            <w:r>
              <w:rPr>
                <w:rFonts w:hint="eastAsia" w:ascii="宋体" w:hAnsi="宋体"/>
                <w:szCs w:val="20"/>
              </w:rPr>
              <w:t>指导了13届数学与应用数学专业本科生毕业论文，共计116人次。</w:t>
            </w:r>
            <w:r>
              <w:rPr>
                <w:rFonts w:hint="eastAsia" w:ascii="宋体" w:hAnsi="宋体"/>
              </w:rPr>
              <w:t>具有指导硕士研究生的资格，现指导在读研究生4名。除了在校本科生和研究生的教育，</w:t>
            </w:r>
            <w:r>
              <w:rPr>
                <w:rFonts w:hint="eastAsia" w:ascii="宋体" w:hAnsi="宋体"/>
                <w:szCs w:val="20"/>
              </w:rPr>
              <w:t>本人还承担了职后教师培训的相关工作，2012年—2019年参与双五百人才工程师资培训项目，进行讲座13次；参与海南省面向少数民族与贫困地区农村初中教师省级“周末流动师资培训学院”项目，送教下乡42次。2014年-2017年参与了海南师范大学附属中学“助飞工程”项目，担任数学学科指导教师。在教学之余，</w:t>
            </w:r>
            <w:r>
              <w:rPr>
                <w:rFonts w:hint="eastAsia" w:ascii="宋体" w:hAnsi="宋体"/>
              </w:rPr>
              <w:t>认真开展教学教研工作，在省级以上刊物发表教改论文2篇，主持完成校级教改课题2项，主编教材1部。</w:t>
            </w:r>
            <w:r>
              <w:rPr>
                <w:rFonts w:hint="eastAsia" w:ascii="宋体" w:hAnsi="宋体"/>
                <w:szCs w:val="20"/>
              </w:rPr>
              <w:t>教学业绩符合教学科研型教授申报条件。</w:t>
            </w:r>
          </w:p>
          <w:p>
            <w:pPr>
              <w:spacing w:line="500" w:lineRule="exact"/>
              <w:ind w:firstLine="420" w:firstLineChars="200"/>
              <w:rPr>
                <w:rFonts w:ascii="黑体" w:hAnsi="黑体" w:eastAsia="黑体" w:cs="黑体"/>
              </w:rPr>
            </w:pPr>
            <w:r>
              <w:rPr>
                <w:rFonts w:hint="eastAsia" w:ascii="黑体" w:hAnsi="黑体" w:eastAsia="黑体" w:cs="黑体"/>
              </w:rPr>
              <w:t>五、科研业绩情况</w:t>
            </w:r>
          </w:p>
          <w:p>
            <w:pPr>
              <w:spacing w:line="500" w:lineRule="exact"/>
              <w:ind w:firstLine="420" w:firstLineChars="200"/>
              <w:rPr>
                <w:rFonts w:ascii="宋体" w:hAnsi="宋体"/>
              </w:rPr>
            </w:pPr>
            <w:r>
              <w:rPr>
                <w:rFonts w:hint="eastAsia" w:ascii="宋体" w:hAnsi="宋体"/>
              </w:rPr>
              <w:t>在积极进行教学教研的同时，科研上也紧抓不懈。任职副教授以来，以第一作者发表论文15篇。其中C类2篇，其它论文13篇。主持完成全国教育科学规划领导小组办公室教育部规划项目1项，省级科研项目3项，其中海南省社科联项目1项，海南省教育科学规划领导小组办公室教育科学规划课题2项。科研业绩符合教学科研型教授申报条件。</w:t>
            </w:r>
          </w:p>
          <w:p>
            <w:pPr>
              <w:spacing w:line="500" w:lineRule="exact"/>
              <w:ind w:firstLine="420" w:firstLineChars="200"/>
              <w:rPr>
                <w:rFonts w:ascii="宋体" w:hAnsi="宋体"/>
              </w:rPr>
            </w:pPr>
            <w:r>
              <w:rPr>
                <w:rFonts w:hint="eastAsia" w:ascii="宋体" w:hAnsi="宋体"/>
              </w:rPr>
              <w:t>总之，本人各方面条件已经符合申报教学科研型教授职称的资格要求。当然，作为一名人民教师，我深知自己的责任，</w:t>
            </w:r>
            <w:r>
              <w:rPr>
                <w:rFonts w:ascii="宋体" w:hAnsi="宋体"/>
              </w:rPr>
              <w:t>成绩属于过去，未来</w:t>
            </w:r>
            <w:r>
              <w:rPr>
                <w:rFonts w:hint="eastAsia" w:ascii="宋体" w:hAnsi="宋体"/>
              </w:rPr>
              <w:t>更需自己努力拼搏。</w:t>
            </w:r>
            <w:r>
              <w:rPr>
                <w:rFonts w:ascii="宋体" w:hAnsi="宋体"/>
              </w:rPr>
              <w:t>作为一</w:t>
            </w:r>
            <w:r>
              <w:rPr>
                <w:rFonts w:hint="eastAsia" w:ascii="宋体" w:hAnsi="宋体"/>
              </w:rPr>
              <w:t>名</w:t>
            </w:r>
            <w:r>
              <w:rPr>
                <w:rFonts w:ascii="宋体" w:hAnsi="宋体"/>
              </w:rPr>
              <w:t>教师，</w:t>
            </w:r>
            <w:r>
              <w:rPr>
                <w:rFonts w:hint="eastAsia" w:ascii="宋体" w:hAnsi="宋体"/>
              </w:rPr>
              <w:t>应不断进取，锐意</w:t>
            </w:r>
            <w:r>
              <w:rPr>
                <w:rFonts w:ascii="宋体" w:hAnsi="宋体"/>
              </w:rPr>
              <w:t>创新，</w:t>
            </w:r>
            <w:r>
              <w:rPr>
                <w:rFonts w:hint="eastAsia" w:ascii="宋体" w:hAnsi="宋体"/>
              </w:rPr>
              <w:t>使自身在教学和学术水平方面都得到更大提升，以取</w:t>
            </w:r>
            <w:r>
              <w:rPr>
                <w:rFonts w:ascii="宋体" w:hAnsi="宋体"/>
              </w:rPr>
              <w:t>得更</w:t>
            </w:r>
            <w:r>
              <w:rPr>
                <w:rFonts w:hint="eastAsia" w:ascii="宋体" w:hAnsi="宋体"/>
              </w:rPr>
              <w:t>显著</w:t>
            </w:r>
            <w:r>
              <w:rPr>
                <w:rFonts w:ascii="宋体" w:hAnsi="宋体"/>
              </w:rPr>
              <w:t>的成绩</w:t>
            </w:r>
            <w:r>
              <w:rPr>
                <w:rFonts w:hint="eastAsia" w:ascii="宋体" w:hAnsi="宋体"/>
              </w:rPr>
              <w:t>！</w:t>
            </w:r>
          </w:p>
          <w:p/>
          <w:p/>
          <w:p/>
          <w:p/>
          <w:p/>
          <w:p/>
          <w:p/>
          <w:p/>
          <w:p/>
          <w:p/>
          <w:p/>
          <w:p/>
          <w:p/>
          <w:p/>
          <w:p/>
          <w:p/>
          <w:p/>
          <w:p/>
          <w:p/>
          <w:p/>
          <w:p/>
          <w:p/>
          <w:p/>
          <w:p>
            <w:r>
              <w:rPr>
                <w:rFonts w:hint="eastAsia"/>
              </w:rPr>
              <w:t>本人承诺：</w:t>
            </w:r>
          </w:p>
          <w:p/>
          <w:p/>
          <w:p/>
          <w:p>
            <w:r>
              <w:rPr>
                <w:rFonts w:hint="eastAsia"/>
              </w:rPr>
              <w:t xml:space="preserve">                                                       签名：                   年   月   日</w:t>
            </w:r>
          </w:p>
        </w:tc>
      </w:tr>
    </w:tbl>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68" w:hRule="atLeast"/>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仿宋_GB2312" w:eastAsia="仿宋_GB2312"/>
                <w:sz w:val="30"/>
                <w:szCs w:val="30"/>
              </w:rPr>
            </w:pP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仿宋_GB2312" w:eastAsia="仿宋_GB2312"/>
                <w:sz w:val="30"/>
                <w:szCs w:val="30"/>
              </w:rPr>
            </w:pP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仿宋_GB2312" w:eastAsia="仿宋_GB2312"/>
                <w:sz w:val="30"/>
                <w:szCs w:val="30"/>
              </w:rPr>
            </w:pPr>
          </w:p>
          <w:p>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ind w:firstLine="300" w:firstLineChars="100"/>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5"/>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87号文规定，经鉴定审核，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日公示无异议，同意推荐其参评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pPr>
              <w:widowControl/>
              <w:spacing w:line="360" w:lineRule="exact"/>
              <w:ind w:firstLine="480" w:firstLineChars="200"/>
              <w:rPr>
                <w:rFonts w:ascii="宋体" w:hAnsi="宋体" w:cs="Arial"/>
                <w:kern w:val="0"/>
                <w:sz w:val="24"/>
                <w:szCs w:val="24"/>
              </w:rPr>
            </w:pPr>
          </w:p>
          <w:p>
            <w:pPr>
              <w:widowControl/>
              <w:jc w:val="center"/>
              <w:rPr>
                <w:rFonts w:ascii="宋体" w:hAnsi="宋体" w:cs="Arial"/>
                <w:kern w:val="0"/>
                <w:szCs w:val="21"/>
              </w:rPr>
            </w:pPr>
          </w:p>
          <w:p>
            <w:pPr>
              <w:widowControl/>
              <w:rPr>
                <w:rFonts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代 表 性</w:t>
            </w:r>
          </w:p>
          <w:p>
            <w:pPr>
              <w:widowControl/>
              <w:jc w:val="center"/>
              <w:rPr>
                <w:rFonts w:ascii="宋体" w:hAnsi="宋体" w:cs="Arial"/>
                <w:kern w:val="0"/>
                <w:szCs w:val="21"/>
              </w:rPr>
            </w:pPr>
            <w:r>
              <w:rPr>
                <w:rFonts w:hint="eastAsia" w:ascii="宋体" w:hAnsi="宋体" w:cs="Arial"/>
                <w:kern w:val="0"/>
                <w:szCs w:val="21"/>
              </w:rPr>
              <w:t>成果名称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代表性成果1名称：</w:t>
            </w:r>
          </w:p>
          <w:p>
            <w:pPr>
              <w:widowControl/>
              <w:jc w:val="left"/>
              <w:rPr>
                <w:rFonts w:ascii="宋体" w:hAnsi="宋体" w:cs="Arial"/>
                <w:kern w:val="0"/>
                <w:szCs w:val="21"/>
              </w:rPr>
            </w:pPr>
          </w:p>
          <w:p>
            <w:pPr>
              <w:widowControl/>
              <w:jc w:val="left"/>
              <w:rPr>
                <w:rFonts w:ascii="宋体" w:hAnsi="宋体" w:cs="Arial"/>
                <w:kern w:val="0"/>
                <w:szCs w:val="21"/>
              </w:rPr>
            </w:pPr>
            <w:r>
              <w:rPr>
                <w:rFonts w:hint="eastAsia" w:ascii="宋体" w:hAnsi="宋体" w:cs="Arial"/>
                <w:kern w:val="0"/>
                <w:szCs w:val="21"/>
              </w:rPr>
              <w:t>代表性成果2名称：</w:t>
            </w:r>
          </w:p>
          <w:p>
            <w:pPr>
              <w:widowControl/>
              <w:jc w:val="left"/>
              <w:rPr>
                <w:rFonts w:ascii="宋体" w:hAnsi="宋体" w:cs="Arial"/>
                <w:kern w:val="0"/>
                <w:szCs w:val="21"/>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algun Gothic Semilight">
    <w:panose1 w:val="020B0502040204020203"/>
    <w:charset w:val="86"/>
    <w:family w:val="swiss"/>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方正小标宋简体">
    <w:altName w:val="Malgun Gothic Semilight"/>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28</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4OTkwYzgwYjRhN2VjMGQ2MTlhZGJhOTg1MmViODMifQ=="/>
  </w:docVars>
  <w:rsids>
    <w:rsidRoot w:val="0033126B"/>
    <w:rsid w:val="000077C7"/>
    <w:rsid w:val="000204C4"/>
    <w:rsid w:val="0002075C"/>
    <w:rsid w:val="00024587"/>
    <w:rsid w:val="00025AA6"/>
    <w:rsid w:val="00035ADA"/>
    <w:rsid w:val="00041997"/>
    <w:rsid w:val="00045E0E"/>
    <w:rsid w:val="00050B41"/>
    <w:rsid w:val="00052874"/>
    <w:rsid w:val="0005769A"/>
    <w:rsid w:val="00057965"/>
    <w:rsid w:val="000734BB"/>
    <w:rsid w:val="000835E5"/>
    <w:rsid w:val="00086C19"/>
    <w:rsid w:val="00091D39"/>
    <w:rsid w:val="00093E8E"/>
    <w:rsid w:val="000A1C4F"/>
    <w:rsid w:val="000A53B5"/>
    <w:rsid w:val="000A6447"/>
    <w:rsid w:val="000B25F1"/>
    <w:rsid w:val="000B5BC8"/>
    <w:rsid w:val="000B7BB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3CD2"/>
    <w:rsid w:val="001152EC"/>
    <w:rsid w:val="0011754C"/>
    <w:rsid w:val="00123022"/>
    <w:rsid w:val="0012343B"/>
    <w:rsid w:val="0012740F"/>
    <w:rsid w:val="0012753C"/>
    <w:rsid w:val="00136E7A"/>
    <w:rsid w:val="00146291"/>
    <w:rsid w:val="00160D6D"/>
    <w:rsid w:val="00163F01"/>
    <w:rsid w:val="001650A1"/>
    <w:rsid w:val="00171343"/>
    <w:rsid w:val="00187EAB"/>
    <w:rsid w:val="00192A61"/>
    <w:rsid w:val="001937B2"/>
    <w:rsid w:val="001937B4"/>
    <w:rsid w:val="001A462E"/>
    <w:rsid w:val="001A6B7D"/>
    <w:rsid w:val="001B0A30"/>
    <w:rsid w:val="001B2C61"/>
    <w:rsid w:val="001C4443"/>
    <w:rsid w:val="001C54FD"/>
    <w:rsid w:val="001C7F92"/>
    <w:rsid w:val="001D2597"/>
    <w:rsid w:val="001D5514"/>
    <w:rsid w:val="001E1E38"/>
    <w:rsid w:val="001E5410"/>
    <w:rsid w:val="00207579"/>
    <w:rsid w:val="00211798"/>
    <w:rsid w:val="00216FF6"/>
    <w:rsid w:val="00221D0E"/>
    <w:rsid w:val="00226AC5"/>
    <w:rsid w:val="002270A7"/>
    <w:rsid w:val="002326D9"/>
    <w:rsid w:val="002347B7"/>
    <w:rsid w:val="00243159"/>
    <w:rsid w:val="00247B30"/>
    <w:rsid w:val="00257618"/>
    <w:rsid w:val="00271356"/>
    <w:rsid w:val="002859E6"/>
    <w:rsid w:val="00295BBE"/>
    <w:rsid w:val="00295DD8"/>
    <w:rsid w:val="002A5769"/>
    <w:rsid w:val="002B5D77"/>
    <w:rsid w:val="002C02ED"/>
    <w:rsid w:val="002C2E4D"/>
    <w:rsid w:val="002D1D2E"/>
    <w:rsid w:val="002E42F6"/>
    <w:rsid w:val="002F1EC4"/>
    <w:rsid w:val="00301627"/>
    <w:rsid w:val="00312C89"/>
    <w:rsid w:val="00314EE7"/>
    <w:rsid w:val="00315AAE"/>
    <w:rsid w:val="00324D00"/>
    <w:rsid w:val="0033126B"/>
    <w:rsid w:val="00333B61"/>
    <w:rsid w:val="0033420A"/>
    <w:rsid w:val="00341077"/>
    <w:rsid w:val="0034140C"/>
    <w:rsid w:val="00342D04"/>
    <w:rsid w:val="003432E7"/>
    <w:rsid w:val="00345CE6"/>
    <w:rsid w:val="00352DB8"/>
    <w:rsid w:val="00353FFB"/>
    <w:rsid w:val="0035796B"/>
    <w:rsid w:val="00360044"/>
    <w:rsid w:val="00361F97"/>
    <w:rsid w:val="0036206F"/>
    <w:rsid w:val="00384C68"/>
    <w:rsid w:val="0039460C"/>
    <w:rsid w:val="003A1658"/>
    <w:rsid w:val="003B5BA5"/>
    <w:rsid w:val="003B7454"/>
    <w:rsid w:val="003C6F7B"/>
    <w:rsid w:val="003D3FAC"/>
    <w:rsid w:val="003D6C2A"/>
    <w:rsid w:val="003E3539"/>
    <w:rsid w:val="003F6AC8"/>
    <w:rsid w:val="00403377"/>
    <w:rsid w:val="00410217"/>
    <w:rsid w:val="00413D18"/>
    <w:rsid w:val="00417FC6"/>
    <w:rsid w:val="00421B6F"/>
    <w:rsid w:val="00424D1B"/>
    <w:rsid w:val="00433D52"/>
    <w:rsid w:val="004378E5"/>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4F0D"/>
    <w:rsid w:val="004E6217"/>
    <w:rsid w:val="004E65CB"/>
    <w:rsid w:val="004F21A1"/>
    <w:rsid w:val="00501DE0"/>
    <w:rsid w:val="00507D8E"/>
    <w:rsid w:val="00523155"/>
    <w:rsid w:val="00525E5A"/>
    <w:rsid w:val="005263B4"/>
    <w:rsid w:val="00532DDE"/>
    <w:rsid w:val="0053390F"/>
    <w:rsid w:val="00535A0B"/>
    <w:rsid w:val="00537C90"/>
    <w:rsid w:val="00543465"/>
    <w:rsid w:val="00547FBC"/>
    <w:rsid w:val="005617BD"/>
    <w:rsid w:val="00565F0F"/>
    <w:rsid w:val="00567C37"/>
    <w:rsid w:val="0057651F"/>
    <w:rsid w:val="0057729A"/>
    <w:rsid w:val="00580981"/>
    <w:rsid w:val="00583E93"/>
    <w:rsid w:val="00584727"/>
    <w:rsid w:val="00595039"/>
    <w:rsid w:val="005B1007"/>
    <w:rsid w:val="005B6055"/>
    <w:rsid w:val="005B6A8B"/>
    <w:rsid w:val="005E06B1"/>
    <w:rsid w:val="005E3440"/>
    <w:rsid w:val="005E58F4"/>
    <w:rsid w:val="005F304F"/>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95FB5"/>
    <w:rsid w:val="006B1E56"/>
    <w:rsid w:val="006B3E0B"/>
    <w:rsid w:val="006C7D1A"/>
    <w:rsid w:val="006E2A27"/>
    <w:rsid w:val="006E5989"/>
    <w:rsid w:val="006E7E68"/>
    <w:rsid w:val="007031A9"/>
    <w:rsid w:val="0070678F"/>
    <w:rsid w:val="00713721"/>
    <w:rsid w:val="00714623"/>
    <w:rsid w:val="00724356"/>
    <w:rsid w:val="007313BA"/>
    <w:rsid w:val="00731BB4"/>
    <w:rsid w:val="00734128"/>
    <w:rsid w:val="007415CC"/>
    <w:rsid w:val="00741F1A"/>
    <w:rsid w:val="00746377"/>
    <w:rsid w:val="0075502E"/>
    <w:rsid w:val="007551B0"/>
    <w:rsid w:val="00777776"/>
    <w:rsid w:val="00785602"/>
    <w:rsid w:val="00792A6E"/>
    <w:rsid w:val="007965C2"/>
    <w:rsid w:val="007A6787"/>
    <w:rsid w:val="007A6B08"/>
    <w:rsid w:val="007A6DCF"/>
    <w:rsid w:val="007B082B"/>
    <w:rsid w:val="007C4C8E"/>
    <w:rsid w:val="007E0134"/>
    <w:rsid w:val="007E6312"/>
    <w:rsid w:val="007E7FD3"/>
    <w:rsid w:val="007F07A4"/>
    <w:rsid w:val="0080457D"/>
    <w:rsid w:val="00805C35"/>
    <w:rsid w:val="00812C68"/>
    <w:rsid w:val="00820FD3"/>
    <w:rsid w:val="008269F0"/>
    <w:rsid w:val="00826A66"/>
    <w:rsid w:val="00830327"/>
    <w:rsid w:val="00833AA5"/>
    <w:rsid w:val="00837A92"/>
    <w:rsid w:val="00855D32"/>
    <w:rsid w:val="008653D4"/>
    <w:rsid w:val="00867374"/>
    <w:rsid w:val="008678EB"/>
    <w:rsid w:val="00872E0F"/>
    <w:rsid w:val="00875F86"/>
    <w:rsid w:val="008764C0"/>
    <w:rsid w:val="00876F0D"/>
    <w:rsid w:val="00882519"/>
    <w:rsid w:val="00894606"/>
    <w:rsid w:val="0089698F"/>
    <w:rsid w:val="008B4063"/>
    <w:rsid w:val="008B5E5E"/>
    <w:rsid w:val="008B687A"/>
    <w:rsid w:val="008C4C0F"/>
    <w:rsid w:val="008D60E5"/>
    <w:rsid w:val="008E5C67"/>
    <w:rsid w:val="008F4E3A"/>
    <w:rsid w:val="00902DB2"/>
    <w:rsid w:val="00905296"/>
    <w:rsid w:val="00912A23"/>
    <w:rsid w:val="00927B7A"/>
    <w:rsid w:val="009332E6"/>
    <w:rsid w:val="009363D5"/>
    <w:rsid w:val="00954313"/>
    <w:rsid w:val="0095657C"/>
    <w:rsid w:val="00956FEE"/>
    <w:rsid w:val="009624BB"/>
    <w:rsid w:val="00962F66"/>
    <w:rsid w:val="00967876"/>
    <w:rsid w:val="00974F96"/>
    <w:rsid w:val="009768A0"/>
    <w:rsid w:val="00984D31"/>
    <w:rsid w:val="00986608"/>
    <w:rsid w:val="00992502"/>
    <w:rsid w:val="009C1F06"/>
    <w:rsid w:val="009D56AF"/>
    <w:rsid w:val="009E353C"/>
    <w:rsid w:val="009E64C8"/>
    <w:rsid w:val="00A03435"/>
    <w:rsid w:val="00A041A9"/>
    <w:rsid w:val="00A04DE0"/>
    <w:rsid w:val="00A12F14"/>
    <w:rsid w:val="00A14210"/>
    <w:rsid w:val="00A15E5A"/>
    <w:rsid w:val="00A377FB"/>
    <w:rsid w:val="00A47CA3"/>
    <w:rsid w:val="00A600A4"/>
    <w:rsid w:val="00A62D30"/>
    <w:rsid w:val="00A64CA0"/>
    <w:rsid w:val="00A74B54"/>
    <w:rsid w:val="00A927EE"/>
    <w:rsid w:val="00AA252B"/>
    <w:rsid w:val="00AB4B1E"/>
    <w:rsid w:val="00AC183C"/>
    <w:rsid w:val="00AD5CCC"/>
    <w:rsid w:val="00AE18A7"/>
    <w:rsid w:val="00AF065B"/>
    <w:rsid w:val="00AF2BB3"/>
    <w:rsid w:val="00AF445F"/>
    <w:rsid w:val="00B036DE"/>
    <w:rsid w:val="00B06BF4"/>
    <w:rsid w:val="00B07F41"/>
    <w:rsid w:val="00B16465"/>
    <w:rsid w:val="00B20A8D"/>
    <w:rsid w:val="00B22E22"/>
    <w:rsid w:val="00B24D88"/>
    <w:rsid w:val="00B27696"/>
    <w:rsid w:val="00B71E98"/>
    <w:rsid w:val="00B80533"/>
    <w:rsid w:val="00B82843"/>
    <w:rsid w:val="00B93F8A"/>
    <w:rsid w:val="00BA646C"/>
    <w:rsid w:val="00BB52F4"/>
    <w:rsid w:val="00BC7F6D"/>
    <w:rsid w:val="00BD1A32"/>
    <w:rsid w:val="00BD4E90"/>
    <w:rsid w:val="00BF0225"/>
    <w:rsid w:val="00BF37BD"/>
    <w:rsid w:val="00C008D8"/>
    <w:rsid w:val="00C0165A"/>
    <w:rsid w:val="00C34C3B"/>
    <w:rsid w:val="00C34D75"/>
    <w:rsid w:val="00C35A03"/>
    <w:rsid w:val="00C3645D"/>
    <w:rsid w:val="00C477A0"/>
    <w:rsid w:val="00C53042"/>
    <w:rsid w:val="00C6384D"/>
    <w:rsid w:val="00C65AB8"/>
    <w:rsid w:val="00C6708F"/>
    <w:rsid w:val="00C722D7"/>
    <w:rsid w:val="00C7632C"/>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1EBD"/>
    <w:rsid w:val="00E62D0D"/>
    <w:rsid w:val="00E713EE"/>
    <w:rsid w:val="00E87DC9"/>
    <w:rsid w:val="00EA2543"/>
    <w:rsid w:val="00EA5CB0"/>
    <w:rsid w:val="00EB1023"/>
    <w:rsid w:val="00ED30F2"/>
    <w:rsid w:val="00EE2F78"/>
    <w:rsid w:val="00EE3937"/>
    <w:rsid w:val="00EE5924"/>
    <w:rsid w:val="00EE7271"/>
    <w:rsid w:val="00EE79DB"/>
    <w:rsid w:val="00EF63BF"/>
    <w:rsid w:val="00F02B0D"/>
    <w:rsid w:val="00F15B17"/>
    <w:rsid w:val="00F1668D"/>
    <w:rsid w:val="00F200F9"/>
    <w:rsid w:val="00F22090"/>
    <w:rsid w:val="00F24A17"/>
    <w:rsid w:val="00F25C10"/>
    <w:rsid w:val="00F34E63"/>
    <w:rsid w:val="00F50D1D"/>
    <w:rsid w:val="00F5628F"/>
    <w:rsid w:val="00F6664A"/>
    <w:rsid w:val="00F75973"/>
    <w:rsid w:val="00F770C0"/>
    <w:rsid w:val="00F82DFD"/>
    <w:rsid w:val="00F841C6"/>
    <w:rsid w:val="00F8579D"/>
    <w:rsid w:val="00F93089"/>
    <w:rsid w:val="00F93A86"/>
    <w:rsid w:val="00F94BC0"/>
    <w:rsid w:val="00F9754D"/>
    <w:rsid w:val="00FA4387"/>
    <w:rsid w:val="00FB3155"/>
    <w:rsid w:val="00FC3DCE"/>
    <w:rsid w:val="00FD5538"/>
    <w:rsid w:val="00FE52BF"/>
    <w:rsid w:val="00FF0622"/>
    <w:rsid w:val="00FF54C9"/>
    <w:rsid w:val="04F82111"/>
    <w:rsid w:val="0643325A"/>
    <w:rsid w:val="0A9B39E1"/>
    <w:rsid w:val="153B3244"/>
    <w:rsid w:val="1E1E083D"/>
    <w:rsid w:val="26C836D0"/>
    <w:rsid w:val="2A685020"/>
    <w:rsid w:val="2CBF0E1F"/>
    <w:rsid w:val="33D6278A"/>
    <w:rsid w:val="38BA425C"/>
    <w:rsid w:val="43D9101E"/>
    <w:rsid w:val="499C1040"/>
    <w:rsid w:val="49C05A15"/>
    <w:rsid w:val="49DF4468"/>
    <w:rsid w:val="504863CB"/>
    <w:rsid w:val="6AC141C7"/>
    <w:rsid w:val="6BA6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52flin</Company>
  <Pages>25</Pages>
  <Words>8805</Words>
  <Characters>10396</Characters>
  <Lines>110</Lines>
  <Paragraphs>31</Paragraphs>
  <TotalTime>228</TotalTime>
  <ScaleCrop>false</ScaleCrop>
  <LinksUpToDate>false</LinksUpToDate>
  <CharactersWithSpaces>12322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张慧</cp:lastModifiedBy>
  <cp:lastPrinted>2022-11-17T03:10:00Z</cp:lastPrinted>
  <dcterms:modified xsi:type="dcterms:W3CDTF">2024-07-01T08:28:23Z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30D47DAD9AAC42E682495CA7025E11C9_13</vt:lpwstr>
  </property>
</Properties>
</file>